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61366B">
      <w:pPr>
        <w:spacing w:line="460" w:lineRule="exact"/>
        <w:jc w:val="center"/>
        <w:rPr>
          <w:snapToGrid w:val="0"/>
          <w:sz w:val="52"/>
          <w:szCs w:val="52"/>
          <w:highlight w:val="none"/>
        </w:rPr>
      </w:pPr>
      <w:bookmarkStart w:id="354" w:name="_GoBack"/>
      <w:bookmarkEnd w:id="354"/>
    </w:p>
    <w:p w14:paraId="4BCF6D17">
      <w:pPr>
        <w:spacing w:line="460" w:lineRule="exact"/>
        <w:jc w:val="center"/>
        <w:rPr>
          <w:snapToGrid w:val="0"/>
          <w:sz w:val="52"/>
          <w:szCs w:val="52"/>
          <w:highlight w:val="none"/>
        </w:rPr>
      </w:pPr>
    </w:p>
    <w:p w14:paraId="30E1D120">
      <w:pPr>
        <w:spacing w:line="460" w:lineRule="exact"/>
        <w:jc w:val="center"/>
        <w:rPr>
          <w:snapToGrid w:val="0"/>
          <w:sz w:val="52"/>
          <w:szCs w:val="52"/>
          <w:highlight w:val="none"/>
        </w:rPr>
      </w:pPr>
    </w:p>
    <w:p w14:paraId="172BCB74">
      <w:pPr>
        <w:spacing w:line="460" w:lineRule="exact"/>
        <w:jc w:val="center"/>
        <w:rPr>
          <w:snapToGrid w:val="0"/>
          <w:sz w:val="52"/>
          <w:szCs w:val="52"/>
          <w:highlight w:val="none"/>
        </w:rPr>
      </w:pPr>
    </w:p>
    <w:p w14:paraId="40F07844">
      <w:pPr>
        <w:spacing w:line="460" w:lineRule="exact"/>
        <w:jc w:val="center"/>
        <w:rPr>
          <w:snapToGrid w:val="0"/>
          <w:sz w:val="52"/>
          <w:szCs w:val="52"/>
          <w:highlight w:val="none"/>
        </w:rPr>
      </w:pPr>
    </w:p>
    <w:p w14:paraId="4E4D9183">
      <w:pPr>
        <w:spacing w:line="560" w:lineRule="exact"/>
        <w:jc w:val="center"/>
        <w:outlineLvl w:val="9"/>
        <w:rPr>
          <w:b/>
          <w:snapToGrid w:val="0"/>
          <w:sz w:val="52"/>
          <w:szCs w:val="52"/>
          <w:highlight w:val="none"/>
        </w:rPr>
      </w:pPr>
      <w:r>
        <w:rPr>
          <w:rFonts w:hint="eastAsia"/>
          <w:b/>
          <w:snapToGrid w:val="0"/>
          <w:sz w:val="52"/>
          <w:szCs w:val="52"/>
          <w:highlight w:val="none"/>
        </w:rPr>
        <w:t>广东天元实业集团股份有限公司</w:t>
      </w:r>
    </w:p>
    <w:p w14:paraId="2E5FD6F7">
      <w:pPr>
        <w:spacing w:line="560" w:lineRule="exact"/>
        <w:jc w:val="center"/>
        <w:rPr>
          <w:b/>
          <w:snapToGrid w:val="0"/>
          <w:sz w:val="52"/>
          <w:szCs w:val="52"/>
          <w:highlight w:val="none"/>
        </w:rPr>
      </w:pPr>
    </w:p>
    <w:p w14:paraId="5785C6DC">
      <w:pPr>
        <w:spacing w:line="560" w:lineRule="exact"/>
        <w:jc w:val="center"/>
        <w:rPr>
          <w:b/>
          <w:snapToGrid w:val="0"/>
          <w:sz w:val="52"/>
          <w:szCs w:val="52"/>
          <w:highlight w:val="none"/>
        </w:rPr>
      </w:pPr>
    </w:p>
    <w:p w14:paraId="3125F86B">
      <w:pPr>
        <w:spacing w:line="560" w:lineRule="exact"/>
        <w:jc w:val="center"/>
        <w:rPr>
          <w:b/>
          <w:snapToGrid w:val="0"/>
          <w:sz w:val="52"/>
          <w:szCs w:val="52"/>
          <w:highlight w:val="none"/>
        </w:rPr>
      </w:pPr>
    </w:p>
    <w:p w14:paraId="64B42968">
      <w:pPr>
        <w:spacing w:line="560" w:lineRule="exact"/>
        <w:jc w:val="center"/>
        <w:outlineLvl w:val="9"/>
        <w:rPr>
          <w:b/>
          <w:snapToGrid w:val="0"/>
          <w:sz w:val="52"/>
          <w:szCs w:val="52"/>
          <w:highlight w:val="none"/>
        </w:rPr>
      </w:pPr>
      <w:r>
        <w:rPr>
          <w:b/>
          <w:snapToGrid w:val="0"/>
          <w:sz w:val="52"/>
          <w:szCs w:val="52"/>
          <w:highlight w:val="none"/>
        </w:rPr>
        <w:t>章</w:t>
      </w:r>
      <w:r>
        <w:rPr>
          <w:rFonts w:hint="eastAsia"/>
          <w:b/>
          <w:snapToGrid w:val="0"/>
          <w:sz w:val="52"/>
          <w:szCs w:val="52"/>
          <w:highlight w:val="none"/>
        </w:rPr>
        <w:t xml:space="preserve">  </w:t>
      </w:r>
      <w:r>
        <w:rPr>
          <w:b/>
          <w:snapToGrid w:val="0"/>
          <w:sz w:val="52"/>
          <w:szCs w:val="52"/>
          <w:highlight w:val="none"/>
        </w:rPr>
        <w:t>程</w:t>
      </w:r>
    </w:p>
    <w:p w14:paraId="425FAB2A">
      <w:pPr>
        <w:spacing w:line="460" w:lineRule="exact"/>
        <w:jc w:val="center"/>
        <w:rPr>
          <w:b/>
          <w:snapToGrid w:val="0"/>
          <w:sz w:val="52"/>
          <w:szCs w:val="52"/>
          <w:highlight w:val="none"/>
        </w:rPr>
      </w:pPr>
    </w:p>
    <w:p w14:paraId="6053E13E">
      <w:pPr>
        <w:spacing w:line="460" w:lineRule="exact"/>
        <w:jc w:val="center"/>
        <w:rPr>
          <w:b/>
          <w:snapToGrid w:val="0"/>
          <w:sz w:val="52"/>
          <w:szCs w:val="52"/>
          <w:highlight w:val="none"/>
        </w:rPr>
      </w:pPr>
    </w:p>
    <w:p w14:paraId="5711A11B">
      <w:pPr>
        <w:spacing w:line="460" w:lineRule="exact"/>
        <w:jc w:val="center"/>
        <w:rPr>
          <w:snapToGrid w:val="0"/>
          <w:sz w:val="32"/>
          <w:szCs w:val="32"/>
          <w:highlight w:val="none"/>
        </w:rPr>
      </w:pPr>
    </w:p>
    <w:p w14:paraId="03461ED8">
      <w:pPr>
        <w:spacing w:line="460" w:lineRule="exact"/>
        <w:jc w:val="center"/>
        <w:rPr>
          <w:snapToGrid w:val="0"/>
          <w:sz w:val="32"/>
          <w:szCs w:val="32"/>
          <w:highlight w:val="none"/>
        </w:rPr>
      </w:pPr>
    </w:p>
    <w:p w14:paraId="5AF0CD50">
      <w:pPr>
        <w:spacing w:line="460" w:lineRule="exact"/>
        <w:jc w:val="center"/>
        <w:rPr>
          <w:snapToGrid w:val="0"/>
          <w:sz w:val="32"/>
          <w:szCs w:val="32"/>
          <w:highlight w:val="none"/>
        </w:rPr>
      </w:pPr>
      <w:r>
        <w:rPr>
          <w:rFonts w:hint="eastAsia"/>
          <w:snapToGrid w:val="0"/>
          <w:sz w:val="32"/>
          <w:szCs w:val="32"/>
          <w:highlight w:val="none"/>
        </w:rPr>
        <w:t xml:space="preserve"> </w:t>
      </w:r>
    </w:p>
    <w:p w14:paraId="3001A2A7">
      <w:pPr>
        <w:spacing w:line="460" w:lineRule="exact"/>
        <w:rPr>
          <w:snapToGrid w:val="0"/>
          <w:sz w:val="32"/>
          <w:szCs w:val="32"/>
          <w:highlight w:val="none"/>
        </w:rPr>
      </w:pPr>
    </w:p>
    <w:p w14:paraId="71F6B9CE">
      <w:pPr>
        <w:spacing w:line="460" w:lineRule="exact"/>
        <w:rPr>
          <w:snapToGrid w:val="0"/>
          <w:sz w:val="32"/>
          <w:szCs w:val="32"/>
          <w:highlight w:val="none"/>
        </w:rPr>
      </w:pPr>
    </w:p>
    <w:p w14:paraId="188F428F">
      <w:pPr>
        <w:spacing w:line="460" w:lineRule="exact"/>
        <w:rPr>
          <w:snapToGrid w:val="0"/>
          <w:sz w:val="32"/>
          <w:szCs w:val="32"/>
          <w:highlight w:val="none"/>
        </w:rPr>
      </w:pPr>
    </w:p>
    <w:p w14:paraId="0E0BBEB1">
      <w:pPr>
        <w:spacing w:line="460" w:lineRule="exact"/>
        <w:rPr>
          <w:snapToGrid w:val="0"/>
          <w:sz w:val="32"/>
          <w:szCs w:val="32"/>
          <w:highlight w:val="none"/>
        </w:rPr>
      </w:pPr>
    </w:p>
    <w:p w14:paraId="7E6FEB00">
      <w:pPr>
        <w:spacing w:line="460" w:lineRule="exact"/>
        <w:rPr>
          <w:snapToGrid w:val="0"/>
          <w:sz w:val="32"/>
          <w:szCs w:val="32"/>
          <w:highlight w:val="none"/>
        </w:rPr>
      </w:pPr>
    </w:p>
    <w:p w14:paraId="4B8BDE89">
      <w:pPr>
        <w:spacing w:line="460" w:lineRule="exact"/>
        <w:rPr>
          <w:snapToGrid w:val="0"/>
          <w:sz w:val="32"/>
          <w:szCs w:val="32"/>
          <w:highlight w:val="none"/>
        </w:rPr>
      </w:pPr>
    </w:p>
    <w:p w14:paraId="59146877">
      <w:pPr>
        <w:spacing w:line="460" w:lineRule="exact"/>
        <w:rPr>
          <w:snapToGrid w:val="0"/>
          <w:sz w:val="32"/>
          <w:szCs w:val="32"/>
          <w:highlight w:val="none"/>
        </w:rPr>
      </w:pPr>
    </w:p>
    <w:p w14:paraId="03002BC3">
      <w:pPr>
        <w:spacing w:line="460" w:lineRule="exact"/>
        <w:rPr>
          <w:snapToGrid w:val="0"/>
          <w:sz w:val="32"/>
          <w:szCs w:val="32"/>
          <w:highlight w:val="none"/>
        </w:rPr>
      </w:pPr>
    </w:p>
    <w:p w14:paraId="64A63073">
      <w:pPr>
        <w:spacing w:line="460" w:lineRule="exact"/>
        <w:rPr>
          <w:snapToGrid w:val="0"/>
          <w:sz w:val="32"/>
          <w:szCs w:val="32"/>
          <w:highlight w:val="none"/>
        </w:rPr>
      </w:pPr>
    </w:p>
    <w:p w14:paraId="7ED59679">
      <w:pPr>
        <w:spacing w:line="460" w:lineRule="exact"/>
        <w:rPr>
          <w:snapToGrid w:val="0"/>
          <w:sz w:val="32"/>
          <w:szCs w:val="32"/>
          <w:highlight w:val="none"/>
        </w:rPr>
      </w:pPr>
    </w:p>
    <w:p w14:paraId="3D1F110A">
      <w:pPr>
        <w:spacing w:line="460" w:lineRule="exact"/>
        <w:rPr>
          <w:snapToGrid w:val="0"/>
          <w:sz w:val="32"/>
          <w:szCs w:val="32"/>
          <w:highlight w:val="none"/>
        </w:rPr>
      </w:pPr>
    </w:p>
    <w:p w14:paraId="41747F4E">
      <w:pPr>
        <w:spacing w:line="460" w:lineRule="exact"/>
        <w:jc w:val="center"/>
        <w:rPr>
          <w:b/>
          <w:bCs/>
          <w:snapToGrid w:val="0"/>
          <w:sz w:val="32"/>
          <w:szCs w:val="32"/>
          <w:highlight w:val="none"/>
        </w:rPr>
      </w:pPr>
      <w:r>
        <w:rPr>
          <w:b/>
          <w:bCs/>
          <w:snapToGrid w:val="0"/>
          <w:sz w:val="32"/>
          <w:szCs w:val="32"/>
          <w:highlight w:val="none"/>
        </w:rPr>
        <w:t>二〇</w:t>
      </w:r>
      <w:r>
        <w:rPr>
          <w:rFonts w:hint="eastAsia"/>
          <w:b/>
          <w:bCs/>
          <w:snapToGrid w:val="0"/>
          <w:sz w:val="32"/>
          <w:szCs w:val="32"/>
          <w:highlight w:val="none"/>
        </w:rPr>
        <w:t>二</w:t>
      </w:r>
      <w:r>
        <w:rPr>
          <w:rFonts w:hint="eastAsia"/>
          <w:b/>
          <w:bCs/>
          <w:snapToGrid w:val="0"/>
          <w:sz w:val="32"/>
          <w:szCs w:val="32"/>
          <w:highlight w:val="none"/>
          <w:lang w:val="en-US" w:eastAsia="zh-CN"/>
        </w:rPr>
        <w:t>四</w:t>
      </w:r>
      <w:r>
        <w:rPr>
          <w:rFonts w:hint="eastAsia"/>
          <w:b/>
          <w:bCs/>
          <w:snapToGrid w:val="0"/>
          <w:sz w:val="32"/>
          <w:szCs w:val="32"/>
          <w:highlight w:val="none"/>
        </w:rPr>
        <w:t>年</w:t>
      </w:r>
      <w:r>
        <w:rPr>
          <w:rFonts w:hint="eastAsia"/>
          <w:b/>
          <w:bCs/>
          <w:snapToGrid w:val="0"/>
          <w:sz w:val="32"/>
          <w:szCs w:val="32"/>
          <w:highlight w:val="none"/>
          <w:lang w:val="en-US" w:eastAsia="zh-CN"/>
        </w:rPr>
        <w:t>六</w:t>
      </w:r>
      <w:r>
        <w:rPr>
          <w:b/>
          <w:bCs/>
          <w:snapToGrid w:val="0"/>
          <w:sz w:val="32"/>
          <w:szCs w:val="32"/>
          <w:highlight w:val="none"/>
        </w:rPr>
        <w:t>月</w:t>
      </w:r>
    </w:p>
    <w:p w14:paraId="04B4FAB1">
      <w:pPr>
        <w:spacing w:line="460" w:lineRule="exact"/>
        <w:jc w:val="center"/>
        <w:rPr>
          <w:snapToGrid w:val="0"/>
          <w:sz w:val="32"/>
          <w:szCs w:val="32"/>
          <w:highlight w:val="none"/>
        </w:rPr>
      </w:pPr>
    </w:p>
    <w:p w14:paraId="511ED678">
      <w:pPr>
        <w:spacing w:line="460" w:lineRule="exact"/>
        <w:jc w:val="center"/>
        <w:rPr>
          <w:snapToGrid w:val="0"/>
          <w:sz w:val="32"/>
          <w:szCs w:val="32"/>
          <w:highlight w:val="none"/>
        </w:rPr>
      </w:pPr>
    </w:p>
    <w:p w14:paraId="5A8B4E47">
      <w:pPr>
        <w:spacing w:line="460" w:lineRule="exact"/>
        <w:jc w:val="center"/>
        <w:rPr>
          <w:b/>
          <w:snapToGrid w:val="0"/>
          <w:sz w:val="32"/>
          <w:szCs w:val="32"/>
          <w:highlight w:val="none"/>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32DC7182">
      <w:pPr>
        <w:spacing w:line="460" w:lineRule="exact"/>
        <w:jc w:val="center"/>
        <w:rPr>
          <w:b/>
          <w:snapToGrid w:val="0"/>
          <w:sz w:val="32"/>
          <w:szCs w:val="32"/>
          <w:highlight w:val="none"/>
        </w:rPr>
      </w:pPr>
      <w:r>
        <w:rPr>
          <w:b/>
          <w:snapToGrid w:val="0"/>
          <w:sz w:val="32"/>
          <w:szCs w:val="32"/>
          <w:highlight w:val="none"/>
        </w:rPr>
        <w:t>目  录</w:t>
      </w:r>
    </w:p>
    <w:p w14:paraId="634B4544">
      <w:pPr>
        <w:jc w:val="center"/>
        <w:rPr>
          <w:snapToGrid w:val="0"/>
          <w:szCs w:val="25"/>
          <w:highlight w:val="none"/>
        </w:rPr>
      </w:pPr>
    </w:p>
    <w:p w14:paraId="56C8E128">
      <w:pPr>
        <w:pStyle w:val="13"/>
        <w:tabs>
          <w:tab w:val="right" w:leader="dot" w:pos="8306"/>
        </w:tabs>
      </w:pPr>
      <w:r>
        <w:rPr>
          <w:rFonts w:ascii="Times New Roman" w:hAnsi="Times New Roman" w:cs="Times New Roman"/>
          <w:bCs w:val="0"/>
          <w:caps w:val="0"/>
          <w:snapToGrid w:val="0"/>
          <w:sz w:val="25"/>
          <w:szCs w:val="25"/>
          <w:highlight w:val="none"/>
        </w:rPr>
        <w:fldChar w:fldCharType="begin"/>
      </w:r>
      <w:r>
        <w:rPr>
          <w:rFonts w:ascii="Times New Roman" w:hAnsi="Times New Roman" w:cs="Times New Roman"/>
          <w:bCs w:val="0"/>
          <w:caps w:val="0"/>
          <w:snapToGrid w:val="0"/>
          <w:sz w:val="25"/>
          <w:szCs w:val="25"/>
          <w:highlight w:val="none"/>
        </w:rPr>
        <w:instrText xml:space="preserve">TOC \o "1-2" \h \u </w:instrText>
      </w:r>
      <w:r>
        <w:rPr>
          <w:rFonts w:ascii="Times New Roman" w:hAnsi="Times New Roman" w:cs="Times New Roman"/>
          <w:bCs w:val="0"/>
          <w:caps w:val="0"/>
          <w:snapToGrid w:val="0"/>
          <w:sz w:val="25"/>
          <w:szCs w:val="25"/>
          <w:highlight w:val="none"/>
        </w:rPr>
        <w:fldChar w:fldCharType="separate"/>
      </w: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_Toc6984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lang w:val="en-US" w:eastAsia="zh-CN"/>
        </w:rPr>
        <w:t xml:space="preserve">第一章  </w:t>
      </w:r>
      <w:r>
        <w:rPr>
          <w:rFonts w:hint="eastAsia" w:ascii="宋体" w:hAnsi="宋体" w:eastAsia="宋体" w:cs="宋体"/>
          <w:kern w:val="0"/>
          <w:szCs w:val="30"/>
          <w:highlight w:val="none"/>
        </w:rPr>
        <w:t>总则</w:t>
      </w:r>
      <w:r>
        <w:tab/>
      </w:r>
      <w:r>
        <w:fldChar w:fldCharType="begin"/>
      </w:r>
      <w:r>
        <w:instrText xml:space="preserve"> PAGEREF _Toc6984 \h </w:instrText>
      </w:r>
      <w:r>
        <w:fldChar w:fldCharType="separate"/>
      </w:r>
      <w:r>
        <w:t>2</w:t>
      </w:r>
      <w:r>
        <w:fldChar w:fldCharType="end"/>
      </w:r>
      <w:r>
        <w:rPr>
          <w:rFonts w:ascii="Times New Roman" w:hAnsi="Times New Roman" w:cs="Times New Roman"/>
          <w:bCs w:val="0"/>
          <w:caps w:val="0"/>
          <w:snapToGrid w:val="0"/>
          <w:szCs w:val="25"/>
          <w:highlight w:val="none"/>
        </w:rPr>
        <w:fldChar w:fldCharType="end"/>
      </w:r>
    </w:p>
    <w:p w14:paraId="6D589F5B">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_Toc25689 </w:instrText>
      </w:r>
      <w:r>
        <w:rPr>
          <w:rFonts w:ascii="Times New Roman" w:hAnsi="Times New Roman" w:cs="Times New Roman"/>
          <w:bCs w:val="0"/>
          <w:caps w:val="0"/>
          <w:snapToGrid w:val="0"/>
          <w:szCs w:val="25"/>
          <w:highlight w:val="none"/>
        </w:rPr>
        <w:fldChar w:fldCharType="separate"/>
      </w:r>
      <w:r>
        <w:rPr>
          <w:rFonts w:hint="eastAsia" w:ascii="宋体" w:hAnsi="宋体" w:cs="宋体"/>
          <w:kern w:val="0"/>
          <w:szCs w:val="30"/>
          <w:highlight w:val="none"/>
          <w:lang w:val="en-US" w:eastAsia="zh-CN"/>
        </w:rPr>
        <w:t xml:space="preserve">第二章  </w:t>
      </w:r>
      <w:r>
        <w:rPr>
          <w:rFonts w:hint="eastAsia" w:ascii="宋体" w:hAnsi="宋体" w:eastAsia="宋体" w:cs="宋体"/>
          <w:kern w:val="0"/>
          <w:szCs w:val="30"/>
          <w:highlight w:val="none"/>
        </w:rPr>
        <w:t>经营宗旨和范围</w:t>
      </w:r>
      <w:r>
        <w:tab/>
      </w:r>
      <w:r>
        <w:fldChar w:fldCharType="begin"/>
      </w:r>
      <w:r>
        <w:instrText xml:space="preserve"> PAGEREF _Toc25689 \h </w:instrText>
      </w:r>
      <w:r>
        <w:fldChar w:fldCharType="separate"/>
      </w:r>
      <w:r>
        <w:t>3</w:t>
      </w:r>
      <w:r>
        <w:fldChar w:fldCharType="end"/>
      </w:r>
      <w:r>
        <w:rPr>
          <w:rFonts w:ascii="Times New Roman" w:hAnsi="Times New Roman" w:cs="Times New Roman"/>
          <w:bCs w:val="0"/>
          <w:caps w:val="0"/>
          <w:snapToGrid w:val="0"/>
          <w:szCs w:val="25"/>
          <w:highlight w:val="none"/>
        </w:rPr>
        <w:fldChar w:fldCharType="end"/>
      </w:r>
    </w:p>
    <w:p w14:paraId="30976207">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_Toc15213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lang w:val="en-US" w:eastAsia="zh-CN"/>
        </w:rPr>
        <w:t>第三章</w:t>
      </w:r>
      <w:r>
        <w:rPr>
          <w:rFonts w:hint="eastAsia" w:ascii="宋体" w:hAnsi="宋体" w:eastAsia="宋体" w:cs="宋体"/>
          <w:kern w:val="0"/>
          <w:szCs w:val="30"/>
          <w:highlight w:val="none"/>
        </w:rPr>
        <w:t xml:space="preserve">  股份</w:t>
      </w:r>
      <w:r>
        <w:tab/>
      </w:r>
      <w:r>
        <w:fldChar w:fldCharType="begin"/>
      </w:r>
      <w:r>
        <w:instrText xml:space="preserve"> PAGEREF _Toc15213 \h </w:instrText>
      </w:r>
      <w:r>
        <w:fldChar w:fldCharType="separate"/>
      </w:r>
      <w:r>
        <w:t>3</w:t>
      </w:r>
      <w:r>
        <w:fldChar w:fldCharType="end"/>
      </w:r>
      <w:r>
        <w:rPr>
          <w:rFonts w:ascii="Times New Roman" w:hAnsi="Times New Roman" w:cs="Times New Roman"/>
          <w:bCs w:val="0"/>
          <w:caps w:val="0"/>
          <w:snapToGrid w:val="0"/>
          <w:szCs w:val="25"/>
          <w:highlight w:val="none"/>
        </w:rPr>
        <w:fldChar w:fldCharType="end"/>
      </w:r>
    </w:p>
    <w:p w14:paraId="4E7A8C7D">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_Toc22918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第一节  股份发行</w:t>
      </w:r>
      <w:r>
        <w:tab/>
      </w:r>
      <w:r>
        <w:fldChar w:fldCharType="begin"/>
      </w:r>
      <w:r>
        <w:instrText xml:space="preserve"> PAGEREF _Toc22918 \h </w:instrText>
      </w:r>
      <w:r>
        <w:fldChar w:fldCharType="separate"/>
      </w:r>
      <w:r>
        <w:t>3</w:t>
      </w:r>
      <w:r>
        <w:fldChar w:fldCharType="end"/>
      </w:r>
      <w:r>
        <w:rPr>
          <w:rFonts w:ascii="Times New Roman" w:hAnsi="Times New Roman" w:cs="Times New Roman"/>
          <w:bCs w:val="0"/>
          <w:caps w:val="0"/>
          <w:snapToGrid w:val="0"/>
          <w:szCs w:val="25"/>
          <w:highlight w:val="none"/>
        </w:rPr>
        <w:fldChar w:fldCharType="end"/>
      </w:r>
    </w:p>
    <w:p w14:paraId="224C2016">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_Toc9899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第二节  股份增减和回购</w:t>
      </w:r>
      <w:r>
        <w:tab/>
      </w:r>
      <w:r>
        <w:fldChar w:fldCharType="begin"/>
      </w:r>
      <w:r>
        <w:instrText xml:space="preserve"> PAGEREF _Toc9899 \h </w:instrText>
      </w:r>
      <w:r>
        <w:fldChar w:fldCharType="separate"/>
      </w:r>
      <w:r>
        <w:t>4</w:t>
      </w:r>
      <w:r>
        <w:fldChar w:fldCharType="end"/>
      </w:r>
      <w:r>
        <w:rPr>
          <w:rFonts w:ascii="Times New Roman" w:hAnsi="Times New Roman" w:cs="Times New Roman"/>
          <w:bCs w:val="0"/>
          <w:caps w:val="0"/>
          <w:snapToGrid w:val="0"/>
          <w:szCs w:val="25"/>
          <w:highlight w:val="none"/>
        </w:rPr>
        <w:fldChar w:fldCharType="end"/>
      </w:r>
    </w:p>
    <w:p w14:paraId="68B1D15D">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_Toc21663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第三节  股份转让</w:t>
      </w:r>
      <w:r>
        <w:tab/>
      </w:r>
      <w:r>
        <w:fldChar w:fldCharType="begin"/>
      </w:r>
      <w:r>
        <w:instrText xml:space="preserve"> PAGEREF _Toc21663 \h </w:instrText>
      </w:r>
      <w:r>
        <w:fldChar w:fldCharType="separate"/>
      </w:r>
      <w:r>
        <w:t>5</w:t>
      </w:r>
      <w:r>
        <w:fldChar w:fldCharType="end"/>
      </w:r>
      <w:r>
        <w:rPr>
          <w:rFonts w:ascii="Times New Roman" w:hAnsi="Times New Roman" w:cs="Times New Roman"/>
          <w:bCs w:val="0"/>
          <w:caps w:val="0"/>
          <w:snapToGrid w:val="0"/>
          <w:szCs w:val="25"/>
          <w:highlight w:val="none"/>
        </w:rPr>
        <w:fldChar w:fldCharType="end"/>
      </w:r>
    </w:p>
    <w:p w14:paraId="44553005">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_Toc10122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第四章  股东和股东大会</w:t>
      </w:r>
      <w:r>
        <w:tab/>
      </w:r>
      <w:r>
        <w:fldChar w:fldCharType="begin"/>
      </w:r>
      <w:r>
        <w:instrText xml:space="preserve"> PAGEREF _Toc10122 \h </w:instrText>
      </w:r>
      <w:r>
        <w:fldChar w:fldCharType="separate"/>
      </w:r>
      <w:r>
        <w:t>6</w:t>
      </w:r>
      <w:r>
        <w:fldChar w:fldCharType="end"/>
      </w:r>
      <w:r>
        <w:rPr>
          <w:rFonts w:ascii="Times New Roman" w:hAnsi="Times New Roman" w:cs="Times New Roman"/>
          <w:bCs w:val="0"/>
          <w:caps w:val="0"/>
          <w:snapToGrid w:val="0"/>
          <w:szCs w:val="25"/>
          <w:highlight w:val="none"/>
        </w:rPr>
        <w:fldChar w:fldCharType="end"/>
      </w:r>
    </w:p>
    <w:p w14:paraId="50C864F4">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_Toc416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第一节  股东</w:t>
      </w:r>
      <w:r>
        <w:tab/>
      </w:r>
      <w:r>
        <w:fldChar w:fldCharType="begin"/>
      </w:r>
      <w:r>
        <w:instrText xml:space="preserve"> PAGEREF _Toc416 \h </w:instrText>
      </w:r>
      <w:r>
        <w:fldChar w:fldCharType="separate"/>
      </w:r>
      <w:r>
        <w:t>6</w:t>
      </w:r>
      <w:r>
        <w:fldChar w:fldCharType="end"/>
      </w:r>
      <w:r>
        <w:rPr>
          <w:rFonts w:ascii="Times New Roman" w:hAnsi="Times New Roman" w:cs="Times New Roman"/>
          <w:bCs w:val="0"/>
          <w:caps w:val="0"/>
          <w:snapToGrid w:val="0"/>
          <w:szCs w:val="25"/>
          <w:highlight w:val="none"/>
        </w:rPr>
        <w:fldChar w:fldCharType="end"/>
      </w:r>
    </w:p>
    <w:p w14:paraId="08F621E0">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_Toc32586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第二节  股东大会的一般规定</w:t>
      </w:r>
      <w:r>
        <w:tab/>
      </w:r>
      <w:r>
        <w:fldChar w:fldCharType="begin"/>
      </w:r>
      <w:r>
        <w:instrText xml:space="preserve"> PAGEREF _Toc32586 \h </w:instrText>
      </w:r>
      <w:r>
        <w:fldChar w:fldCharType="separate"/>
      </w:r>
      <w:r>
        <w:t>9</w:t>
      </w:r>
      <w:r>
        <w:fldChar w:fldCharType="end"/>
      </w:r>
      <w:r>
        <w:rPr>
          <w:rFonts w:ascii="Times New Roman" w:hAnsi="Times New Roman" w:cs="Times New Roman"/>
          <w:bCs w:val="0"/>
          <w:caps w:val="0"/>
          <w:snapToGrid w:val="0"/>
          <w:szCs w:val="25"/>
          <w:highlight w:val="none"/>
        </w:rPr>
        <w:fldChar w:fldCharType="end"/>
      </w:r>
    </w:p>
    <w:p w14:paraId="6F17094F">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_Toc5430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第三节  股东大会的召集</w:t>
      </w:r>
      <w:r>
        <w:tab/>
      </w:r>
      <w:r>
        <w:fldChar w:fldCharType="begin"/>
      </w:r>
      <w:r>
        <w:instrText xml:space="preserve"> PAGEREF _Toc5430 \h </w:instrText>
      </w:r>
      <w:r>
        <w:fldChar w:fldCharType="separate"/>
      </w:r>
      <w:r>
        <w:t>13</w:t>
      </w:r>
      <w:r>
        <w:fldChar w:fldCharType="end"/>
      </w:r>
      <w:r>
        <w:rPr>
          <w:rFonts w:ascii="Times New Roman" w:hAnsi="Times New Roman" w:cs="Times New Roman"/>
          <w:bCs w:val="0"/>
          <w:caps w:val="0"/>
          <w:snapToGrid w:val="0"/>
          <w:szCs w:val="25"/>
          <w:highlight w:val="none"/>
        </w:rPr>
        <w:fldChar w:fldCharType="end"/>
      </w:r>
    </w:p>
    <w:p w14:paraId="3BBACB3E">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_Toc20135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第四节  股东大会的提案与通知</w:t>
      </w:r>
      <w:r>
        <w:tab/>
      </w:r>
      <w:r>
        <w:fldChar w:fldCharType="begin"/>
      </w:r>
      <w:r>
        <w:instrText xml:space="preserve"> PAGEREF _Toc20135 \h </w:instrText>
      </w:r>
      <w:r>
        <w:fldChar w:fldCharType="separate"/>
      </w:r>
      <w:r>
        <w:t>14</w:t>
      </w:r>
      <w:r>
        <w:fldChar w:fldCharType="end"/>
      </w:r>
      <w:r>
        <w:rPr>
          <w:rFonts w:ascii="Times New Roman" w:hAnsi="Times New Roman" w:cs="Times New Roman"/>
          <w:bCs w:val="0"/>
          <w:caps w:val="0"/>
          <w:snapToGrid w:val="0"/>
          <w:szCs w:val="25"/>
          <w:highlight w:val="none"/>
        </w:rPr>
        <w:fldChar w:fldCharType="end"/>
      </w:r>
    </w:p>
    <w:p w14:paraId="061E3C14">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_Toc30951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第五节  股东大会的召开</w:t>
      </w:r>
      <w:r>
        <w:tab/>
      </w:r>
      <w:r>
        <w:fldChar w:fldCharType="begin"/>
      </w:r>
      <w:r>
        <w:instrText xml:space="preserve"> PAGEREF _Toc30951 \h </w:instrText>
      </w:r>
      <w:r>
        <w:fldChar w:fldCharType="separate"/>
      </w:r>
      <w:r>
        <w:t>16</w:t>
      </w:r>
      <w:r>
        <w:fldChar w:fldCharType="end"/>
      </w:r>
      <w:r>
        <w:rPr>
          <w:rFonts w:ascii="Times New Roman" w:hAnsi="Times New Roman" w:cs="Times New Roman"/>
          <w:bCs w:val="0"/>
          <w:caps w:val="0"/>
          <w:snapToGrid w:val="0"/>
          <w:szCs w:val="25"/>
          <w:highlight w:val="none"/>
        </w:rPr>
        <w:fldChar w:fldCharType="end"/>
      </w:r>
    </w:p>
    <w:p w14:paraId="5A0DA910">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_Toc24029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snapToGrid w:val="0"/>
          <w:szCs w:val="24"/>
          <w:highlight w:val="none"/>
        </w:rPr>
        <w:t>第六节  股东大会的表决和决议</w:t>
      </w:r>
      <w:r>
        <w:tab/>
      </w:r>
      <w:r>
        <w:fldChar w:fldCharType="begin"/>
      </w:r>
      <w:r>
        <w:instrText xml:space="preserve"> PAGEREF _Toc24029 \h </w:instrText>
      </w:r>
      <w:r>
        <w:fldChar w:fldCharType="separate"/>
      </w:r>
      <w:r>
        <w:t>18</w:t>
      </w:r>
      <w:r>
        <w:fldChar w:fldCharType="end"/>
      </w:r>
      <w:r>
        <w:rPr>
          <w:rFonts w:ascii="Times New Roman" w:hAnsi="Times New Roman" w:cs="Times New Roman"/>
          <w:bCs w:val="0"/>
          <w:caps w:val="0"/>
          <w:snapToGrid w:val="0"/>
          <w:szCs w:val="25"/>
          <w:highlight w:val="none"/>
        </w:rPr>
        <w:fldChar w:fldCharType="end"/>
      </w:r>
    </w:p>
    <w:p w14:paraId="0F481A7F">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_Toc3464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第五章  董事会</w:t>
      </w:r>
      <w:r>
        <w:tab/>
      </w:r>
      <w:r>
        <w:fldChar w:fldCharType="begin"/>
      </w:r>
      <w:r>
        <w:instrText xml:space="preserve"> PAGEREF _Toc3464 \h </w:instrText>
      </w:r>
      <w:r>
        <w:fldChar w:fldCharType="separate"/>
      </w:r>
      <w:r>
        <w:t>22</w:t>
      </w:r>
      <w:r>
        <w:fldChar w:fldCharType="end"/>
      </w:r>
      <w:r>
        <w:rPr>
          <w:rFonts w:ascii="Times New Roman" w:hAnsi="Times New Roman" w:cs="Times New Roman"/>
          <w:bCs w:val="0"/>
          <w:caps w:val="0"/>
          <w:snapToGrid w:val="0"/>
          <w:szCs w:val="25"/>
          <w:highlight w:val="none"/>
        </w:rPr>
        <w:fldChar w:fldCharType="end"/>
      </w:r>
    </w:p>
    <w:p w14:paraId="1EACB340">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_Toc1492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第一节 </w:t>
      </w:r>
      <w:r>
        <w:rPr>
          <w:rFonts w:hint="eastAsia" w:ascii="宋体" w:hAnsi="宋体" w:eastAsia="宋体" w:cs="宋体"/>
          <w:snapToGrid w:val="0"/>
          <w:szCs w:val="24"/>
          <w:highlight w:val="none"/>
        </w:rPr>
        <w:t>董事</w:t>
      </w:r>
      <w:r>
        <w:tab/>
      </w:r>
      <w:r>
        <w:fldChar w:fldCharType="begin"/>
      </w:r>
      <w:r>
        <w:instrText xml:space="preserve"> PAGEREF _Toc1492 \h </w:instrText>
      </w:r>
      <w:r>
        <w:fldChar w:fldCharType="separate"/>
      </w:r>
      <w:r>
        <w:t>22</w:t>
      </w:r>
      <w:r>
        <w:fldChar w:fldCharType="end"/>
      </w:r>
      <w:r>
        <w:rPr>
          <w:rFonts w:ascii="Times New Roman" w:hAnsi="Times New Roman" w:cs="Times New Roman"/>
          <w:bCs w:val="0"/>
          <w:caps w:val="0"/>
          <w:snapToGrid w:val="0"/>
          <w:szCs w:val="25"/>
          <w:highlight w:val="none"/>
        </w:rPr>
        <w:fldChar w:fldCharType="end"/>
      </w:r>
    </w:p>
    <w:p w14:paraId="2A99D1AF">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_Toc24122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第二节 </w:t>
      </w:r>
      <w:r>
        <w:rPr>
          <w:rFonts w:hint="eastAsia" w:ascii="宋体" w:hAnsi="宋体" w:eastAsia="宋体" w:cs="宋体"/>
          <w:snapToGrid w:val="0"/>
          <w:szCs w:val="24"/>
          <w:highlight w:val="none"/>
        </w:rPr>
        <w:t>董事会</w:t>
      </w:r>
      <w:r>
        <w:tab/>
      </w:r>
      <w:r>
        <w:fldChar w:fldCharType="begin"/>
      </w:r>
      <w:r>
        <w:instrText xml:space="preserve"> PAGEREF _Toc24122 \h </w:instrText>
      </w:r>
      <w:r>
        <w:fldChar w:fldCharType="separate"/>
      </w:r>
      <w:r>
        <w:t>25</w:t>
      </w:r>
      <w:r>
        <w:fldChar w:fldCharType="end"/>
      </w:r>
      <w:r>
        <w:rPr>
          <w:rFonts w:ascii="Times New Roman" w:hAnsi="Times New Roman" w:cs="Times New Roman"/>
          <w:bCs w:val="0"/>
          <w:caps w:val="0"/>
          <w:snapToGrid w:val="0"/>
          <w:szCs w:val="25"/>
          <w:highlight w:val="none"/>
        </w:rPr>
        <w:fldChar w:fldCharType="end"/>
      </w:r>
    </w:p>
    <w:p w14:paraId="4377C04E">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_Toc19350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第三节 </w:t>
      </w:r>
      <w:r>
        <w:rPr>
          <w:rFonts w:hint="eastAsia" w:ascii="宋体" w:hAnsi="宋体" w:eastAsia="宋体" w:cs="宋体"/>
          <w:snapToGrid w:val="0"/>
          <w:szCs w:val="24"/>
          <w:highlight w:val="none"/>
        </w:rPr>
        <w:t>独立董事</w:t>
      </w:r>
      <w:r>
        <w:tab/>
      </w:r>
      <w:r>
        <w:fldChar w:fldCharType="begin"/>
      </w:r>
      <w:r>
        <w:instrText xml:space="preserve"> PAGEREF _Toc19350 \h </w:instrText>
      </w:r>
      <w:r>
        <w:fldChar w:fldCharType="separate"/>
      </w:r>
      <w:r>
        <w:t>29</w:t>
      </w:r>
      <w:r>
        <w:fldChar w:fldCharType="end"/>
      </w:r>
      <w:r>
        <w:rPr>
          <w:rFonts w:ascii="Times New Roman" w:hAnsi="Times New Roman" w:cs="Times New Roman"/>
          <w:bCs w:val="0"/>
          <w:caps w:val="0"/>
          <w:snapToGrid w:val="0"/>
          <w:szCs w:val="25"/>
          <w:highlight w:val="none"/>
        </w:rPr>
        <w:fldChar w:fldCharType="end"/>
      </w:r>
    </w:p>
    <w:p w14:paraId="0751BD03">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_Toc12429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第六章  总经理及其他高级管理人员</w:t>
      </w:r>
      <w:r>
        <w:tab/>
      </w:r>
      <w:r>
        <w:fldChar w:fldCharType="begin"/>
      </w:r>
      <w:r>
        <w:instrText xml:space="preserve"> PAGEREF _Toc12429 \h </w:instrText>
      </w:r>
      <w:r>
        <w:fldChar w:fldCharType="separate"/>
      </w:r>
      <w:r>
        <w:t>30</w:t>
      </w:r>
      <w:r>
        <w:fldChar w:fldCharType="end"/>
      </w:r>
      <w:r>
        <w:rPr>
          <w:rFonts w:ascii="Times New Roman" w:hAnsi="Times New Roman" w:cs="Times New Roman"/>
          <w:bCs w:val="0"/>
          <w:caps w:val="0"/>
          <w:snapToGrid w:val="0"/>
          <w:szCs w:val="25"/>
          <w:highlight w:val="none"/>
        </w:rPr>
        <w:fldChar w:fldCharType="end"/>
      </w:r>
    </w:p>
    <w:p w14:paraId="1ED289ED">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_Toc2168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第七章  监事会</w:t>
      </w:r>
      <w:r>
        <w:tab/>
      </w:r>
      <w:r>
        <w:fldChar w:fldCharType="begin"/>
      </w:r>
      <w:r>
        <w:instrText xml:space="preserve"> PAGEREF _Toc2168 \h </w:instrText>
      </w:r>
      <w:r>
        <w:fldChar w:fldCharType="separate"/>
      </w:r>
      <w:r>
        <w:t>32</w:t>
      </w:r>
      <w:r>
        <w:fldChar w:fldCharType="end"/>
      </w:r>
      <w:r>
        <w:rPr>
          <w:rFonts w:ascii="Times New Roman" w:hAnsi="Times New Roman" w:cs="Times New Roman"/>
          <w:bCs w:val="0"/>
          <w:caps w:val="0"/>
          <w:snapToGrid w:val="0"/>
          <w:szCs w:val="25"/>
          <w:highlight w:val="none"/>
        </w:rPr>
        <w:fldChar w:fldCharType="end"/>
      </w:r>
    </w:p>
    <w:p w14:paraId="53EFB335">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_Toc632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第一节 </w:t>
      </w:r>
      <w:r>
        <w:rPr>
          <w:rFonts w:hint="eastAsia" w:ascii="宋体" w:hAnsi="宋体" w:eastAsia="宋体" w:cs="宋体"/>
          <w:snapToGrid w:val="0"/>
          <w:szCs w:val="24"/>
          <w:highlight w:val="none"/>
        </w:rPr>
        <w:t>监事</w:t>
      </w:r>
      <w:r>
        <w:tab/>
      </w:r>
      <w:r>
        <w:fldChar w:fldCharType="begin"/>
      </w:r>
      <w:r>
        <w:instrText xml:space="preserve"> PAGEREF _Toc632 \h </w:instrText>
      </w:r>
      <w:r>
        <w:fldChar w:fldCharType="separate"/>
      </w:r>
      <w:r>
        <w:t>32</w:t>
      </w:r>
      <w:r>
        <w:fldChar w:fldCharType="end"/>
      </w:r>
      <w:r>
        <w:rPr>
          <w:rFonts w:ascii="Times New Roman" w:hAnsi="Times New Roman" w:cs="Times New Roman"/>
          <w:bCs w:val="0"/>
          <w:caps w:val="0"/>
          <w:snapToGrid w:val="0"/>
          <w:szCs w:val="25"/>
          <w:highlight w:val="none"/>
        </w:rPr>
        <w:fldChar w:fldCharType="end"/>
      </w:r>
    </w:p>
    <w:p w14:paraId="42D7C3AE">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_Toc3238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第二节 </w:t>
      </w:r>
      <w:r>
        <w:rPr>
          <w:rFonts w:hint="eastAsia" w:ascii="宋体" w:hAnsi="宋体" w:eastAsia="宋体" w:cs="宋体"/>
          <w:snapToGrid w:val="0"/>
          <w:szCs w:val="24"/>
          <w:highlight w:val="none"/>
        </w:rPr>
        <w:t>监事会</w:t>
      </w:r>
      <w:r>
        <w:tab/>
      </w:r>
      <w:r>
        <w:fldChar w:fldCharType="begin"/>
      </w:r>
      <w:r>
        <w:instrText xml:space="preserve"> PAGEREF _Toc3238 \h </w:instrText>
      </w:r>
      <w:r>
        <w:fldChar w:fldCharType="separate"/>
      </w:r>
      <w:r>
        <w:t>33</w:t>
      </w:r>
      <w:r>
        <w:fldChar w:fldCharType="end"/>
      </w:r>
      <w:r>
        <w:rPr>
          <w:rFonts w:ascii="Times New Roman" w:hAnsi="Times New Roman" w:cs="Times New Roman"/>
          <w:bCs w:val="0"/>
          <w:caps w:val="0"/>
          <w:snapToGrid w:val="0"/>
          <w:szCs w:val="25"/>
          <w:highlight w:val="none"/>
        </w:rPr>
        <w:fldChar w:fldCharType="end"/>
      </w:r>
    </w:p>
    <w:p w14:paraId="0B8A3A51">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_Toc19777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第八章  财务会计制度、利润分配和审计</w:t>
      </w:r>
      <w:r>
        <w:tab/>
      </w:r>
      <w:r>
        <w:fldChar w:fldCharType="begin"/>
      </w:r>
      <w:r>
        <w:instrText xml:space="preserve"> PAGEREF _Toc19777 \h </w:instrText>
      </w:r>
      <w:r>
        <w:fldChar w:fldCharType="separate"/>
      </w:r>
      <w:r>
        <w:t>34</w:t>
      </w:r>
      <w:r>
        <w:fldChar w:fldCharType="end"/>
      </w:r>
      <w:r>
        <w:rPr>
          <w:rFonts w:ascii="Times New Roman" w:hAnsi="Times New Roman" w:cs="Times New Roman"/>
          <w:bCs w:val="0"/>
          <w:caps w:val="0"/>
          <w:snapToGrid w:val="0"/>
          <w:szCs w:val="25"/>
          <w:highlight w:val="none"/>
        </w:rPr>
        <w:fldChar w:fldCharType="end"/>
      </w:r>
    </w:p>
    <w:p w14:paraId="65E08886">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_Toc22256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第一节 </w:t>
      </w:r>
      <w:r>
        <w:rPr>
          <w:rFonts w:hint="eastAsia" w:ascii="宋体" w:hAnsi="宋体" w:eastAsia="宋体" w:cs="宋体"/>
          <w:snapToGrid w:val="0"/>
          <w:szCs w:val="24"/>
          <w:highlight w:val="none"/>
        </w:rPr>
        <w:t>财务会计制度</w:t>
      </w:r>
      <w:r>
        <w:tab/>
      </w:r>
      <w:r>
        <w:fldChar w:fldCharType="begin"/>
      </w:r>
      <w:r>
        <w:instrText xml:space="preserve"> PAGEREF _Toc22256 \h </w:instrText>
      </w:r>
      <w:r>
        <w:fldChar w:fldCharType="separate"/>
      </w:r>
      <w:r>
        <w:t>34</w:t>
      </w:r>
      <w:r>
        <w:fldChar w:fldCharType="end"/>
      </w:r>
      <w:r>
        <w:rPr>
          <w:rFonts w:ascii="Times New Roman" w:hAnsi="Times New Roman" w:cs="Times New Roman"/>
          <w:bCs w:val="0"/>
          <w:caps w:val="0"/>
          <w:snapToGrid w:val="0"/>
          <w:szCs w:val="25"/>
          <w:highlight w:val="none"/>
        </w:rPr>
        <w:fldChar w:fldCharType="end"/>
      </w:r>
    </w:p>
    <w:p w14:paraId="286B4A40">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_Toc23700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第二节 </w:t>
      </w:r>
      <w:r>
        <w:rPr>
          <w:rFonts w:hint="eastAsia" w:ascii="宋体" w:hAnsi="宋体" w:eastAsia="宋体" w:cs="宋体"/>
          <w:snapToGrid w:val="0"/>
          <w:szCs w:val="24"/>
          <w:highlight w:val="none"/>
        </w:rPr>
        <w:t>内部审计</w:t>
      </w:r>
      <w:r>
        <w:tab/>
      </w:r>
      <w:r>
        <w:fldChar w:fldCharType="begin"/>
      </w:r>
      <w:r>
        <w:instrText xml:space="preserve"> PAGEREF _Toc23700 \h </w:instrText>
      </w:r>
      <w:r>
        <w:fldChar w:fldCharType="separate"/>
      </w:r>
      <w:r>
        <w:t>38</w:t>
      </w:r>
      <w:r>
        <w:fldChar w:fldCharType="end"/>
      </w:r>
      <w:r>
        <w:rPr>
          <w:rFonts w:ascii="Times New Roman" w:hAnsi="Times New Roman" w:cs="Times New Roman"/>
          <w:bCs w:val="0"/>
          <w:caps w:val="0"/>
          <w:snapToGrid w:val="0"/>
          <w:szCs w:val="25"/>
          <w:highlight w:val="none"/>
        </w:rPr>
        <w:fldChar w:fldCharType="end"/>
      </w:r>
    </w:p>
    <w:p w14:paraId="2F4ADE9C">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_Toc5122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第三节 </w:t>
      </w:r>
      <w:r>
        <w:rPr>
          <w:rFonts w:hint="eastAsia" w:ascii="宋体" w:hAnsi="宋体" w:eastAsia="宋体" w:cs="宋体"/>
          <w:snapToGrid w:val="0"/>
          <w:szCs w:val="24"/>
          <w:highlight w:val="none"/>
        </w:rPr>
        <w:t>会计师事务所的聘任</w:t>
      </w:r>
      <w:r>
        <w:tab/>
      </w:r>
      <w:r>
        <w:fldChar w:fldCharType="begin"/>
      </w:r>
      <w:r>
        <w:instrText xml:space="preserve"> PAGEREF _Toc5122 \h </w:instrText>
      </w:r>
      <w:r>
        <w:fldChar w:fldCharType="separate"/>
      </w:r>
      <w:r>
        <w:t>38</w:t>
      </w:r>
      <w:r>
        <w:fldChar w:fldCharType="end"/>
      </w:r>
      <w:r>
        <w:rPr>
          <w:rFonts w:ascii="Times New Roman" w:hAnsi="Times New Roman" w:cs="Times New Roman"/>
          <w:bCs w:val="0"/>
          <w:caps w:val="0"/>
          <w:snapToGrid w:val="0"/>
          <w:szCs w:val="25"/>
          <w:highlight w:val="none"/>
        </w:rPr>
        <w:fldChar w:fldCharType="end"/>
      </w:r>
    </w:p>
    <w:p w14:paraId="29BE8AFD">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_Toc17237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第九章  通知和公告</w:t>
      </w:r>
      <w:r>
        <w:tab/>
      </w:r>
      <w:r>
        <w:fldChar w:fldCharType="begin"/>
      </w:r>
      <w:r>
        <w:instrText xml:space="preserve"> PAGEREF _Toc17237 \h </w:instrText>
      </w:r>
      <w:r>
        <w:fldChar w:fldCharType="separate"/>
      </w:r>
      <w:r>
        <w:t>39</w:t>
      </w:r>
      <w:r>
        <w:fldChar w:fldCharType="end"/>
      </w:r>
      <w:r>
        <w:rPr>
          <w:rFonts w:ascii="Times New Roman" w:hAnsi="Times New Roman" w:cs="Times New Roman"/>
          <w:bCs w:val="0"/>
          <w:caps w:val="0"/>
          <w:snapToGrid w:val="0"/>
          <w:szCs w:val="25"/>
          <w:highlight w:val="none"/>
        </w:rPr>
        <w:fldChar w:fldCharType="end"/>
      </w:r>
    </w:p>
    <w:p w14:paraId="44071BBC">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_Toc26744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zCs w:val="24"/>
        </w:rPr>
        <w:t xml:space="preserve">第一节 </w:t>
      </w:r>
      <w:r>
        <w:rPr>
          <w:rFonts w:hint="eastAsia" w:ascii="宋体" w:hAnsi="宋体" w:eastAsia="宋体" w:cs="宋体"/>
          <w:snapToGrid w:val="0"/>
          <w:szCs w:val="24"/>
          <w:highlight w:val="none"/>
        </w:rPr>
        <w:t>通知</w:t>
      </w:r>
      <w:r>
        <w:tab/>
      </w:r>
      <w:r>
        <w:fldChar w:fldCharType="begin"/>
      </w:r>
      <w:r>
        <w:instrText xml:space="preserve"> PAGEREF _Toc26744 \h </w:instrText>
      </w:r>
      <w:r>
        <w:fldChar w:fldCharType="separate"/>
      </w:r>
      <w:r>
        <w:t>39</w:t>
      </w:r>
      <w:r>
        <w:fldChar w:fldCharType="end"/>
      </w:r>
      <w:r>
        <w:rPr>
          <w:rFonts w:ascii="Times New Roman" w:hAnsi="Times New Roman" w:cs="Times New Roman"/>
          <w:bCs w:val="0"/>
          <w:caps w:val="0"/>
          <w:snapToGrid w:val="0"/>
          <w:szCs w:val="25"/>
          <w:highlight w:val="none"/>
        </w:rPr>
        <w:fldChar w:fldCharType="end"/>
      </w:r>
    </w:p>
    <w:p w14:paraId="4169D417">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_Toc1004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第二节 </w:t>
      </w:r>
      <w:r>
        <w:rPr>
          <w:rFonts w:hint="eastAsia" w:ascii="宋体" w:hAnsi="宋体" w:eastAsia="宋体" w:cs="宋体"/>
          <w:snapToGrid w:val="0"/>
          <w:szCs w:val="24"/>
          <w:highlight w:val="none"/>
        </w:rPr>
        <w:t>公告</w:t>
      </w:r>
      <w:r>
        <w:tab/>
      </w:r>
      <w:r>
        <w:fldChar w:fldCharType="begin"/>
      </w:r>
      <w:r>
        <w:instrText xml:space="preserve"> PAGEREF _Toc1004 \h </w:instrText>
      </w:r>
      <w:r>
        <w:fldChar w:fldCharType="separate"/>
      </w:r>
      <w:r>
        <w:t>40</w:t>
      </w:r>
      <w:r>
        <w:fldChar w:fldCharType="end"/>
      </w:r>
      <w:r>
        <w:rPr>
          <w:rFonts w:ascii="Times New Roman" w:hAnsi="Times New Roman" w:cs="Times New Roman"/>
          <w:bCs w:val="0"/>
          <w:caps w:val="0"/>
          <w:snapToGrid w:val="0"/>
          <w:szCs w:val="25"/>
          <w:highlight w:val="none"/>
        </w:rPr>
        <w:fldChar w:fldCharType="end"/>
      </w:r>
    </w:p>
    <w:p w14:paraId="2F3BC38C">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_Toc25703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第十章  合并、分立、增资、减资、解散和清算</w:t>
      </w:r>
      <w:r>
        <w:tab/>
      </w:r>
      <w:r>
        <w:fldChar w:fldCharType="begin"/>
      </w:r>
      <w:r>
        <w:instrText xml:space="preserve"> PAGEREF _Toc25703 \h </w:instrText>
      </w:r>
      <w:r>
        <w:fldChar w:fldCharType="separate"/>
      </w:r>
      <w:r>
        <w:t>40</w:t>
      </w:r>
      <w:r>
        <w:fldChar w:fldCharType="end"/>
      </w:r>
      <w:r>
        <w:rPr>
          <w:rFonts w:ascii="Times New Roman" w:hAnsi="Times New Roman" w:cs="Times New Roman"/>
          <w:bCs w:val="0"/>
          <w:caps w:val="0"/>
          <w:snapToGrid w:val="0"/>
          <w:szCs w:val="25"/>
          <w:highlight w:val="none"/>
        </w:rPr>
        <w:fldChar w:fldCharType="end"/>
      </w:r>
    </w:p>
    <w:p w14:paraId="08EFD374">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_Toc28708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第一节 </w:t>
      </w:r>
      <w:r>
        <w:rPr>
          <w:rFonts w:hint="eastAsia" w:ascii="宋体" w:hAnsi="宋体" w:eastAsia="宋体" w:cs="宋体"/>
          <w:snapToGrid w:val="0"/>
          <w:szCs w:val="24"/>
          <w:highlight w:val="none"/>
        </w:rPr>
        <w:t>合并、分立、增资和减资</w:t>
      </w:r>
      <w:r>
        <w:tab/>
      </w:r>
      <w:r>
        <w:fldChar w:fldCharType="begin"/>
      </w:r>
      <w:r>
        <w:instrText xml:space="preserve"> PAGEREF _Toc28708 \h </w:instrText>
      </w:r>
      <w:r>
        <w:fldChar w:fldCharType="separate"/>
      </w:r>
      <w:r>
        <w:t>40</w:t>
      </w:r>
      <w:r>
        <w:fldChar w:fldCharType="end"/>
      </w:r>
      <w:r>
        <w:rPr>
          <w:rFonts w:ascii="Times New Roman" w:hAnsi="Times New Roman" w:cs="Times New Roman"/>
          <w:bCs w:val="0"/>
          <w:caps w:val="0"/>
          <w:snapToGrid w:val="0"/>
          <w:szCs w:val="25"/>
          <w:highlight w:val="none"/>
        </w:rPr>
        <w:fldChar w:fldCharType="end"/>
      </w:r>
    </w:p>
    <w:p w14:paraId="2A08F3D7">
      <w:pPr>
        <w:pStyle w:val="15"/>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_Toc13391 </w:instrText>
      </w:r>
      <w:r>
        <w:rPr>
          <w:rFonts w:ascii="Times New Roman" w:hAnsi="Times New Roman" w:cs="Times New Roman"/>
          <w:bCs w:val="0"/>
          <w:caps w:val="0"/>
          <w:snapToGrid w:val="0"/>
          <w:szCs w:val="25"/>
          <w:highlight w:val="none"/>
        </w:rPr>
        <w:fldChar w:fldCharType="separate"/>
      </w:r>
      <w:r>
        <w:rPr>
          <w:rFonts w:hint="default" w:ascii="宋体" w:hAnsi="宋体" w:eastAsia="宋体" w:cs="宋体"/>
          <w:snapToGrid w:val="0"/>
          <w:szCs w:val="24"/>
        </w:rPr>
        <w:t xml:space="preserve">第二节 </w:t>
      </w:r>
      <w:r>
        <w:rPr>
          <w:rFonts w:hint="eastAsia" w:ascii="宋体" w:hAnsi="宋体" w:eastAsia="宋体" w:cs="宋体"/>
          <w:snapToGrid w:val="0"/>
          <w:szCs w:val="24"/>
          <w:highlight w:val="none"/>
        </w:rPr>
        <w:t>解散和清算</w:t>
      </w:r>
      <w:r>
        <w:tab/>
      </w:r>
      <w:r>
        <w:fldChar w:fldCharType="begin"/>
      </w:r>
      <w:r>
        <w:instrText xml:space="preserve"> PAGEREF _Toc13391 \h </w:instrText>
      </w:r>
      <w:r>
        <w:fldChar w:fldCharType="separate"/>
      </w:r>
      <w:r>
        <w:t>41</w:t>
      </w:r>
      <w:r>
        <w:fldChar w:fldCharType="end"/>
      </w:r>
      <w:r>
        <w:rPr>
          <w:rFonts w:ascii="Times New Roman" w:hAnsi="Times New Roman" w:cs="Times New Roman"/>
          <w:bCs w:val="0"/>
          <w:caps w:val="0"/>
          <w:snapToGrid w:val="0"/>
          <w:szCs w:val="25"/>
          <w:highlight w:val="none"/>
        </w:rPr>
        <w:fldChar w:fldCharType="end"/>
      </w:r>
    </w:p>
    <w:p w14:paraId="5DD848C8">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_Toc9430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第十二章  修改章程</w:t>
      </w:r>
      <w:r>
        <w:tab/>
      </w:r>
      <w:r>
        <w:fldChar w:fldCharType="begin"/>
      </w:r>
      <w:r>
        <w:instrText xml:space="preserve"> PAGEREF _Toc9430 \h </w:instrText>
      </w:r>
      <w:r>
        <w:fldChar w:fldCharType="separate"/>
      </w:r>
      <w:r>
        <w:t>43</w:t>
      </w:r>
      <w:r>
        <w:fldChar w:fldCharType="end"/>
      </w:r>
      <w:r>
        <w:rPr>
          <w:rFonts w:ascii="Times New Roman" w:hAnsi="Times New Roman" w:cs="Times New Roman"/>
          <w:bCs w:val="0"/>
          <w:caps w:val="0"/>
          <w:snapToGrid w:val="0"/>
          <w:szCs w:val="25"/>
          <w:highlight w:val="none"/>
        </w:rPr>
        <w:fldChar w:fldCharType="end"/>
      </w:r>
    </w:p>
    <w:p w14:paraId="7F3D5DDF">
      <w:pPr>
        <w:pStyle w:val="13"/>
        <w:tabs>
          <w:tab w:val="right" w:leader="dot" w:pos="8306"/>
        </w:tabs>
      </w:pPr>
      <w:r>
        <w:rPr>
          <w:rFonts w:ascii="Times New Roman" w:hAnsi="Times New Roman" w:cs="Times New Roman"/>
          <w:bCs w:val="0"/>
          <w:caps w:val="0"/>
          <w:snapToGrid w:val="0"/>
          <w:szCs w:val="25"/>
          <w:highlight w:val="none"/>
        </w:rPr>
        <w:fldChar w:fldCharType="begin"/>
      </w:r>
      <w:r>
        <w:rPr>
          <w:rFonts w:ascii="Times New Roman" w:hAnsi="Times New Roman" w:cs="Times New Roman"/>
          <w:bCs w:val="0"/>
          <w:caps w:val="0"/>
          <w:snapToGrid w:val="0"/>
          <w:szCs w:val="25"/>
          <w:highlight w:val="none"/>
        </w:rPr>
        <w:instrText xml:space="preserve"> HYPERLINK \l _Toc667 </w:instrText>
      </w:r>
      <w:r>
        <w:rPr>
          <w:rFonts w:ascii="Times New Roman" w:hAnsi="Times New Roman" w:cs="Times New Roman"/>
          <w:bCs w:val="0"/>
          <w:caps w:val="0"/>
          <w:snapToGrid w:val="0"/>
          <w:szCs w:val="25"/>
          <w:highlight w:val="none"/>
        </w:rPr>
        <w:fldChar w:fldCharType="separate"/>
      </w:r>
      <w:r>
        <w:rPr>
          <w:rFonts w:hint="eastAsia" w:ascii="宋体" w:hAnsi="宋体" w:eastAsia="宋体" w:cs="宋体"/>
          <w:kern w:val="0"/>
          <w:szCs w:val="30"/>
          <w:highlight w:val="none"/>
        </w:rPr>
        <w:t>第十三章  附则</w:t>
      </w:r>
      <w:r>
        <w:tab/>
      </w:r>
      <w:r>
        <w:fldChar w:fldCharType="begin"/>
      </w:r>
      <w:r>
        <w:instrText xml:space="preserve"> PAGEREF _Toc667 \h </w:instrText>
      </w:r>
      <w:r>
        <w:fldChar w:fldCharType="separate"/>
      </w:r>
      <w:r>
        <w:t>43</w:t>
      </w:r>
      <w:r>
        <w:fldChar w:fldCharType="end"/>
      </w:r>
      <w:r>
        <w:rPr>
          <w:rFonts w:ascii="Times New Roman" w:hAnsi="Times New Roman" w:cs="Times New Roman"/>
          <w:bCs w:val="0"/>
          <w:caps w:val="0"/>
          <w:snapToGrid w:val="0"/>
          <w:szCs w:val="25"/>
          <w:highlight w:val="none"/>
        </w:rPr>
        <w:fldChar w:fldCharType="end"/>
      </w:r>
    </w:p>
    <w:p w14:paraId="5B5FD45A">
      <w:pPr>
        <w:pStyle w:val="13"/>
        <w:pageBreakBefore/>
        <w:tabs>
          <w:tab w:val="right" w:leader="dot" w:pos="8296"/>
        </w:tabs>
        <w:spacing w:after="0"/>
        <w:rPr>
          <w:rFonts w:ascii="Times New Roman" w:hAnsi="Times New Roman" w:cs="Times New Roman"/>
          <w:b w:val="0"/>
          <w:snapToGrid w:val="0"/>
          <w:sz w:val="25"/>
          <w:szCs w:val="25"/>
          <w:highlight w:val="none"/>
        </w:rPr>
      </w:pPr>
      <w:r>
        <w:rPr>
          <w:rFonts w:ascii="Times New Roman" w:hAnsi="Times New Roman" w:cs="Times New Roman"/>
          <w:bCs w:val="0"/>
          <w:caps w:val="0"/>
          <w:snapToGrid w:val="0"/>
          <w:szCs w:val="25"/>
          <w:highlight w:val="none"/>
        </w:rPr>
        <w:fldChar w:fldCharType="end"/>
      </w:r>
    </w:p>
    <w:p w14:paraId="7F117171">
      <w:pPr>
        <w:pStyle w:val="2"/>
        <w:numPr>
          <w:ilvl w:val="-1"/>
          <w:numId w:val="0"/>
        </w:numPr>
        <w:tabs>
          <w:tab w:val="left" w:pos="1155"/>
          <w:tab w:val="clear" w:pos="4684"/>
        </w:tabs>
        <w:spacing w:before="0" w:after="0" w:line="360" w:lineRule="auto"/>
        <w:ind w:left="0" w:firstLine="0"/>
        <w:rPr>
          <w:rFonts w:hint="eastAsia" w:ascii="宋体" w:hAnsi="宋体" w:eastAsia="宋体" w:cs="宋体"/>
          <w:b/>
          <w:kern w:val="0"/>
          <w:sz w:val="30"/>
          <w:szCs w:val="30"/>
          <w:highlight w:val="none"/>
        </w:rPr>
      </w:pPr>
      <w:bookmarkStart w:id="0" w:name="_Toc6984"/>
      <w:bookmarkStart w:id="1" w:name="_Toc24245"/>
      <w:bookmarkStart w:id="2" w:name="_Toc203475051"/>
      <w:r>
        <w:rPr>
          <w:rFonts w:hint="eastAsia" w:ascii="宋体" w:hAnsi="宋体" w:eastAsia="宋体" w:cs="宋体"/>
          <w:b/>
          <w:kern w:val="0"/>
          <w:sz w:val="30"/>
          <w:szCs w:val="30"/>
          <w:highlight w:val="none"/>
          <w:lang w:val="en-US" w:eastAsia="zh-CN"/>
        </w:rPr>
        <w:t xml:space="preserve">第一章  </w:t>
      </w:r>
      <w:bookmarkStart w:id="3" w:name="_Toc12070"/>
      <w:bookmarkStart w:id="4" w:name="_Toc22111"/>
      <w:bookmarkStart w:id="5" w:name="_Toc1069254079"/>
      <w:bookmarkStart w:id="6" w:name="_Toc23785"/>
      <w:bookmarkStart w:id="7" w:name="_Toc28630"/>
      <w:bookmarkStart w:id="8" w:name="_Toc325815137"/>
      <w:bookmarkStart w:id="9" w:name="_Toc20931"/>
      <w:bookmarkStart w:id="10" w:name="_Toc422141916"/>
      <w:r>
        <w:rPr>
          <w:rFonts w:hint="eastAsia" w:ascii="宋体" w:hAnsi="宋体" w:eastAsia="宋体" w:cs="宋体"/>
          <w:b/>
          <w:kern w:val="0"/>
          <w:sz w:val="30"/>
          <w:szCs w:val="30"/>
          <w:highlight w:val="none"/>
        </w:rPr>
        <w:t>总则</w:t>
      </w:r>
      <w:bookmarkEnd w:id="0"/>
      <w:bookmarkEnd w:id="1"/>
      <w:bookmarkEnd w:id="2"/>
      <w:bookmarkEnd w:id="3"/>
      <w:bookmarkEnd w:id="4"/>
      <w:bookmarkEnd w:id="5"/>
      <w:bookmarkEnd w:id="6"/>
      <w:bookmarkEnd w:id="7"/>
      <w:bookmarkEnd w:id="8"/>
      <w:bookmarkEnd w:id="9"/>
      <w:bookmarkEnd w:id="10"/>
    </w:p>
    <w:p w14:paraId="23B5820D">
      <w:pPr>
        <w:numPr>
          <w:ilvl w:val="0"/>
          <w:numId w:val="7"/>
        </w:numPr>
        <w:spacing w:line="360" w:lineRule="auto"/>
        <w:rPr>
          <w:rFonts w:hint="eastAsia" w:ascii="宋体" w:hAnsi="宋体" w:cs="宋体"/>
          <w:snapToGrid w:val="0"/>
          <w:sz w:val="24"/>
          <w:highlight w:val="none"/>
        </w:rPr>
      </w:pPr>
      <w:r>
        <w:rPr>
          <w:rFonts w:hint="eastAsia" w:ascii="宋体" w:hAnsi="宋体" w:cs="宋体"/>
          <w:sz w:val="24"/>
          <w:highlight w:val="none"/>
        </w:rPr>
        <w:t>为维护广东天元实业集团股份有限公司（以下简称“公司”）、股东和债权人的合法权益，规范公司的组织和行为，根据《中华人民共和国公司法》（以下简称“《公司法》”）、《中华人民共和国证券法》（以下简称“《证券法》”）和中国证券监督管理委员会（以下简称“中国证监会”）颁发的《上市公司章程指引》和其他有关规定，制订本章程。</w:t>
      </w:r>
    </w:p>
    <w:p w14:paraId="493D4949">
      <w:pPr>
        <w:numPr>
          <w:ilvl w:val="0"/>
          <w:numId w:val="7"/>
        </w:numPr>
        <w:spacing w:line="360" w:lineRule="auto"/>
        <w:outlineLvl w:val="9"/>
        <w:rPr>
          <w:rFonts w:hint="eastAsia" w:ascii="宋体" w:hAnsi="宋体" w:cs="宋体"/>
          <w:sz w:val="24"/>
          <w:highlight w:val="none"/>
        </w:rPr>
      </w:pPr>
      <w:r>
        <w:rPr>
          <w:rFonts w:hint="eastAsia" w:ascii="宋体" w:hAnsi="宋体" w:cs="宋体"/>
          <w:sz w:val="24"/>
          <w:highlight w:val="none"/>
        </w:rPr>
        <w:t>公司系依照《公司法》和其他有关规定成立的股份有限公司。</w:t>
      </w:r>
    </w:p>
    <w:p w14:paraId="7BEF33C2">
      <w:pPr>
        <w:spacing w:line="360" w:lineRule="auto"/>
        <w:rPr>
          <w:rFonts w:hint="eastAsia" w:ascii="宋体" w:hAnsi="宋体" w:cs="宋体"/>
          <w:sz w:val="24"/>
          <w:highlight w:val="none"/>
        </w:rPr>
      </w:pPr>
      <w:r>
        <w:rPr>
          <w:rFonts w:hint="eastAsia" w:ascii="宋体" w:hAnsi="宋体" w:cs="宋体"/>
          <w:sz w:val="24"/>
          <w:highlight w:val="none"/>
        </w:rPr>
        <w:t xml:space="preserve">    公司系在广东天元印刷有限公司的基础上，依法整体变更设立的股份有限公司，在东莞市工商行政管理局注册登记。</w:t>
      </w:r>
    </w:p>
    <w:p w14:paraId="4FAA0F53">
      <w:pPr>
        <w:numPr>
          <w:ilvl w:val="0"/>
          <w:numId w:val="7"/>
        </w:numPr>
        <w:spacing w:line="360" w:lineRule="auto"/>
        <w:rPr>
          <w:rFonts w:hint="eastAsia" w:ascii="宋体" w:hAnsi="宋体" w:cs="宋体"/>
          <w:snapToGrid w:val="0"/>
          <w:sz w:val="24"/>
          <w:highlight w:val="none"/>
        </w:rPr>
      </w:pPr>
      <w:r>
        <w:rPr>
          <w:rFonts w:hint="eastAsia" w:ascii="宋体" w:hAnsi="宋体" w:cs="宋体"/>
          <w:sz w:val="24"/>
          <w:highlight w:val="none"/>
        </w:rPr>
        <w:t>公司于2020年8月7日经中国证监会批准，首次向社会公众发行人民币普通股44,200,000股，于2020年9月21日在深圳证券交易所上市。</w:t>
      </w:r>
    </w:p>
    <w:p w14:paraId="11B64071">
      <w:pPr>
        <w:numPr>
          <w:ilvl w:val="0"/>
          <w:numId w:val="7"/>
        </w:numPr>
        <w:spacing w:line="360" w:lineRule="auto"/>
        <w:outlineLvl w:val="9"/>
        <w:rPr>
          <w:rFonts w:hint="eastAsia" w:ascii="宋体" w:hAnsi="宋体" w:cs="宋体"/>
          <w:snapToGrid w:val="0"/>
          <w:sz w:val="24"/>
          <w:highlight w:val="none"/>
        </w:rPr>
      </w:pPr>
      <w:r>
        <w:rPr>
          <w:rFonts w:hint="eastAsia" w:ascii="宋体" w:hAnsi="宋体" w:cs="宋体"/>
          <w:snapToGrid w:val="0"/>
          <w:sz w:val="24"/>
          <w:highlight w:val="none"/>
        </w:rPr>
        <w:t>公司注册名称：广东天元实业集团股份有限公司</w:t>
      </w:r>
    </w:p>
    <w:p w14:paraId="26E58571">
      <w:pPr>
        <w:spacing w:line="360" w:lineRule="auto"/>
        <w:ind w:left="-96" w:firstLine="1676"/>
        <w:rPr>
          <w:rFonts w:hint="eastAsia" w:ascii="宋体" w:hAnsi="宋体" w:cs="宋体"/>
          <w:sz w:val="24"/>
          <w:highlight w:val="none"/>
        </w:rPr>
      </w:pPr>
      <w:r>
        <w:rPr>
          <w:rFonts w:hint="eastAsia" w:ascii="宋体" w:hAnsi="宋体" w:cs="宋体"/>
          <w:snapToGrid w:val="0"/>
          <w:sz w:val="24"/>
          <w:highlight w:val="none"/>
        </w:rPr>
        <w:t>公司的英文名称：Guangdong Tengen Industrial Group Co.,Ltd.</w:t>
      </w:r>
    </w:p>
    <w:p w14:paraId="229C091B">
      <w:pPr>
        <w:numPr>
          <w:ilvl w:val="0"/>
          <w:numId w:val="7"/>
        </w:numPr>
        <w:spacing w:line="360" w:lineRule="auto"/>
        <w:outlineLvl w:val="9"/>
        <w:rPr>
          <w:rFonts w:hint="eastAsia" w:ascii="宋体" w:hAnsi="宋体" w:cs="宋体"/>
          <w:snapToGrid w:val="0"/>
          <w:sz w:val="24"/>
          <w:highlight w:val="none"/>
        </w:rPr>
      </w:pPr>
      <w:r>
        <w:rPr>
          <w:rFonts w:hint="eastAsia" w:ascii="宋体" w:hAnsi="宋体" w:cs="宋体"/>
          <w:snapToGrid w:val="0"/>
          <w:sz w:val="24"/>
          <w:highlight w:val="none"/>
        </w:rPr>
        <w:t>公司住所：广东省东莞市清溪镇青滨东路128号</w:t>
      </w:r>
    </w:p>
    <w:p w14:paraId="76F9D8B8">
      <w:pPr>
        <w:spacing w:line="360" w:lineRule="auto"/>
        <w:ind w:left="-96" w:firstLine="1676"/>
        <w:rPr>
          <w:rFonts w:hint="eastAsia" w:ascii="宋体" w:hAnsi="宋体" w:cs="宋体"/>
          <w:snapToGrid w:val="0"/>
          <w:sz w:val="24"/>
          <w:highlight w:val="none"/>
        </w:rPr>
      </w:pPr>
      <w:r>
        <w:rPr>
          <w:rFonts w:hint="eastAsia" w:ascii="宋体" w:hAnsi="宋体" w:cs="宋体"/>
          <w:snapToGrid w:val="0"/>
          <w:sz w:val="24"/>
          <w:highlight w:val="none"/>
        </w:rPr>
        <w:t>邮政编码：523650</w:t>
      </w:r>
    </w:p>
    <w:p w14:paraId="6DB94232">
      <w:pPr>
        <w:numPr>
          <w:ilvl w:val="0"/>
          <w:numId w:val="7"/>
        </w:numPr>
        <w:spacing w:line="360" w:lineRule="auto"/>
        <w:rPr>
          <w:rFonts w:hint="eastAsia" w:ascii="宋体" w:hAnsi="宋体" w:cs="宋体"/>
          <w:sz w:val="24"/>
          <w:highlight w:val="none"/>
        </w:rPr>
      </w:pPr>
      <w:r>
        <w:rPr>
          <w:rFonts w:hint="eastAsia" w:ascii="宋体" w:hAnsi="宋体" w:cs="宋体"/>
          <w:snapToGrid w:val="0"/>
          <w:sz w:val="24"/>
          <w:highlight w:val="none"/>
        </w:rPr>
        <w:t>公司注册资本为人民币</w:t>
      </w:r>
      <w:r>
        <w:rPr>
          <w:rFonts w:hint="eastAsia" w:ascii="宋体" w:hAnsi="宋体" w:cs="宋体"/>
          <w:sz w:val="24"/>
          <w:highlight w:val="none"/>
        </w:rPr>
        <w:t>17,679.83</w:t>
      </w:r>
      <w:r>
        <w:rPr>
          <w:rFonts w:hint="eastAsia" w:ascii="宋体" w:hAnsi="宋体" w:cs="宋体"/>
          <w:snapToGrid w:val="0"/>
          <w:sz w:val="24"/>
          <w:highlight w:val="none"/>
        </w:rPr>
        <w:t>万元。</w:t>
      </w:r>
    </w:p>
    <w:p w14:paraId="1B0B7859">
      <w:pPr>
        <w:numPr>
          <w:ilvl w:val="0"/>
          <w:numId w:val="7"/>
        </w:numPr>
        <w:spacing w:line="360" w:lineRule="auto"/>
        <w:rPr>
          <w:rFonts w:hint="eastAsia" w:ascii="宋体" w:hAnsi="宋体" w:cs="宋体"/>
          <w:sz w:val="24"/>
          <w:highlight w:val="none"/>
        </w:rPr>
      </w:pPr>
      <w:r>
        <w:rPr>
          <w:rFonts w:hint="eastAsia" w:ascii="宋体" w:hAnsi="宋体" w:cs="宋体"/>
          <w:sz w:val="24"/>
          <w:highlight w:val="none"/>
        </w:rPr>
        <w:t>公司为永久存续的股份有限公司。</w:t>
      </w:r>
    </w:p>
    <w:p w14:paraId="572D208D">
      <w:pPr>
        <w:numPr>
          <w:ilvl w:val="0"/>
          <w:numId w:val="7"/>
        </w:numPr>
        <w:spacing w:line="360" w:lineRule="auto"/>
        <w:rPr>
          <w:rFonts w:hint="eastAsia" w:ascii="宋体" w:hAnsi="宋体" w:cs="宋体"/>
          <w:sz w:val="24"/>
          <w:highlight w:val="none"/>
        </w:rPr>
      </w:pPr>
      <w:r>
        <w:rPr>
          <w:rFonts w:hint="eastAsia" w:ascii="宋体" w:hAnsi="宋体" w:cs="宋体"/>
          <w:sz w:val="24"/>
          <w:highlight w:val="none"/>
        </w:rPr>
        <w:t>公司的法定代表人由董事长担任。</w:t>
      </w:r>
    </w:p>
    <w:p w14:paraId="78BF2961">
      <w:pPr>
        <w:numPr>
          <w:ilvl w:val="0"/>
          <w:numId w:val="7"/>
        </w:numPr>
        <w:spacing w:line="360" w:lineRule="auto"/>
        <w:rPr>
          <w:rFonts w:hint="eastAsia" w:ascii="宋体" w:hAnsi="宋体" w:cs="宋体"/>
          <w:sz w:val="24"/>
          <w:highlight w:val="none"/>
        </w:rPr>
      </w:pPr>
      <w:r>
        <w:rPr>
          <w:rFonts w:hint="eastAsia" w:ascii="宋体" w:hAnsi="宋体" w:cs="宋体"/>
          <w:sz w:val="24"/>
          <w:highlight w:val="none"/>
        </w:rPr>
        <w:t>公司全部资产分为等额股份，股东以其认购的股份为限对公司承担责任，公司以其全部资产对公司的债务承担责任。</w:t>
      </w:r>
    </w:p>
    <w:p w14:paraId="7B355104">
      <w:pPr>
        <w:numPr>
          <w:ilvl w:val="0"/>
          <w:numId w:val="7"/>
        </w:numPr>
        <w:spacing w:line="360" w:lineRule="auto"/>
        <w:rPr>
          <w:rFonts w:hint="eastAsia" w:ascii="宋体" w:hAnsi="宋体" w:cs="宋体"/>
          <w:sz w:val="24"/>
          <w:highlight w:val="none"/>
        </w:rPr>
      </w:pPr>
      <w:r>
        <w:rPr>
          <w:rFonts w:hint="eastAsia" w:ascii="宋体" w:hAnsi="宋体" w:cs="宋体"/>
          <w:sz w:val="24"/>
          <w:highlight w:val="none"/>
        </w:rPr>
        <w:t>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总经理和其他高级管理人员，股东可以起诉公司，公司可以起诉股东、董事、监事、总经理和其他高级管理人员。</w:t>
      </w:r>
    </w:p>
    <w:p w14:paraId="556D8683">
      <w:pPr>
        <w:numPr>
          <w:ilvl w:val="0"/>
          <w:numId w:val="7"/>
        </w:numPr>
        <w:spacing w:line="360" w:lineRule="auto"/>
        <w:rPr>
          <w:rFonts w:hint="eastAsia" w:ascii="宋体" w:hAnsi="宋体" w:cs="宋体"/>
          <w:snapToGrid w:val="0"/>
          <w:highlight w:val="none"/>
        </w:rPr>
      </w:pPr>
      <w:r>
        <w:rPr>
          <w:rFonts w:hint="eastAsia" w:ascii="宋体" w:hAnsi="宋体" w:cs="宋体"/>
          <w:sz w:val="24"/>
          <w:highlight w:val="none"/>
        </w:rPr>
        <w:t>本章程所称其他高级管理人员是指公司的副总经理、董事会秘书、财务总监。</w:t>
      </w:r>
    </w:p>
    <w:p w14:paraId="1D29A72D">
      <w:pPr>
        <w:numPr>
          <w:ilvl w:val="0"/>
          <w:numId w:val="7"/>
        </w:numPr>
        <w:spacing w:line="360" w:lineRule="auto"/>
        <w:rPr>
          <w:rFonts w:hint="eastAsia" w:ascii="宋体" w:hAnsi="宋体" w:cs="宋体"/>
          <w:sz w:val="24"/>
          <w:szCs w:val="22"/>
          <w:highlight w:val="none"/>
        </w:rPr>
      </w:pPr>
      <w:r>
        <w:rPr>
          <w:rFonts w:hint="eastAsia" w:ascii="宋体" w:hAnsi="宋体" w:cs="宋体"/>
          <w:sz w:val="24"/>
          <w:szCs w:val="22"/>
          <w:highlight w:val="none"/>
        </w:rPr>
        <w:t>公司根据中国共产党章程的规定，设立共产党组织、开展党的活动。公司为党组织的活动提供必要条件。</w:t>
      </w:r>
    </w:p>
    <w:p w14:paraId="58BF6C4D">
      <w:pPr>
        <w:spacing w:before="0" w:after="0" w:line="360" w:lineRule="auto"/>
        <w:ind w:left="0"/>
        <w:jc w:val="center"/>
        <w:outlineLvl w:val="0"/>
        <w:rPr>
          <w:rFonts w:hint="eastAsia" w:ascii="宋体" w:hAnsi="宋体" w:eastAsia="宋体" w:cs="宋体"/>
          <w:b/>
          <w:kern w:val="0"/>
          <w:sz w:val="30"/>
          <w:szCs w:val="30"/>
          <w:highlight w:val="none"/>
        </w:rPr>
      </w:pPr>
      <w:bookmarkStart w:id="11" w:name="_Toc28672"/>
      <w:bookmarkStart w:id="12" w:name="_Toc422141917"/>
      <w:bookmarkStart w:id="13" w:name="_Toc15046"/>
      <w:bookmarkStart w:id="14" w:name="_Toc4094"/>
      <w:bookmarkStart w:id="15" w:name="_Toc448"/>
      <w:bookmarkStart w:id="16" w:name="_Toc203475052"/>
      <w:bookmarkStart w:id="17" w:name="_Toc25689"/>
      <w:bookmarkStart w:id="18" w:name="_Toc810147657"/>
      <w:bookmarkStart w:id="19" w:name="_Toc325815138"/>
      <w:r>
        <w:rPr>
          <w:rFonts w:hint="eastAsia" w:ascii="宋体" w:hAnsi="宋体" w:cs="宋体"/>
          <w:b/>
          <w:kern w:val="0"/>
          <w:sz w:val="30"/>
          <w:szCs w:val="30"/>
          <w:highlight w:val="none"/>
          <w:lang w:val="en-US" w:eastAsia="zh-CN"/>
        </w:rPr>
        <w:t xml:space="preserve">第二章  </w:t>
      </w:r>
      <w:r>
        <w:rPr>
          <w:rFonts w:hint="eastAsia" w:ascii="宋体" w:hAnsi="宋体" w:eastAsia="宋体" w:cs="宋体"/>
          <w:b/>
          <w:kern w:val="0"/>
          <w:sz w:val="30"/>
          <w:szCs w:val="30"/>
          <w:highlight w:val="none"/>
        </w:rPr>
        <w:t>经营宗旨和范围</w:t>
      </w:r>
      <w:bookmarkEnd w:id="11"/>
      <w:bookmarkEnd w:id="12"/>
      <w:bookmarkEnd w:id="13"/>
      <w:bookmarkEnd w:id="14"/>
      <w:bookmarkEnd w:id="15"/>
      <w:bookmarkEnd w:id="16"/>
      <w:bookmarkEnd w:id="17"/>
      <w:bookmarkEnd w:id="18"/>
      <w:bookmarkEnd w:id="19"/>
    </w:p>
    <w:p w14:paraId="74F4F52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w:t>
      </w:r>
      <w:r>
        <w:rPr>
          <w:rFonts w:hint="eastAsia" w:ascii="宋体" w:hAnsi="宋体" w:cs="宋体"/>
          <w:sz w:val="24"/>
          <w:highlight w:val="none"/>
        </w:rPr>
        <w:t>司的经营宗旨：诚信经营、稳步发展、尽善尽美、高效服务。</w:t>
      </w:r>
    </w:p>
    <w:p w14:paraId="72744A38">
      <w:pPr>
        <w:numPr>
          <w:ilvl w:val="0"/>
          <w:numId w:val="7"/>
        </w:numPr>
        <w:spacing w:line="360" w:lineRule="auto"/>
        <w:rPr>
          <w:rFonts w:hint="eastAsia" w:ascii="宋体" w:hAnsi="宋体" w:cs="宋体"/>
          <w:b/>
          <w:bCs/>
          <w:snapToGrid w:val="0"/>
          <w:sz w:val="24"/>
          <w:szCs w:val="30"/>
          <w:highlight w:val="none"/>
        </w:rPr>
      </w:pPr>
      <w:r>
        <w:rPr>
          <w:rFonts w:hint="eastAsia" w:ascii="宋体" w:hAnsi="宋体" w:cs="宋体"/>
          <w:snapToGrid w:val="0"/>
          <w:sz w:val="24"/>
          <w:highlight w:val="none"/>
        </w:rPr>
        <w:t xml:space="preserve"> </w:t>
      </w:r>
      <w:r>
        <w:rPr>
          <w:rFonts w:hint="eastAsia" w:ascii="宋体" w:hAnsi="宋体" w:cs="宋体"/>
          <w:sz w:val="24"/>
          <w:highlight w:val="none"/>
        </w:rPr>
        <w:t>经依法登记，公司的经营范围：许可项目：包装装潢印刷品印刷；文件、资料等其他印刷品印刷；出版物印刷。（依法须经批准的项目，经相关部门批准后方可开展经营活动，具体经营项目以相关部门批准文件或许可证件为准）一般项目：纸制品销售；纸制品制造；塑料制品销售；塑料制品制造；包装材料及制品销售；五金产品制造；五金产品零售；模具制造；模具销售；办公用品销售；销售代理；非金属矿及制品销售；非金属矿物制品制造；包装专用设备销售；包装专用设备制造；通用设备制造（不含特种设备制造）；技术进出口；货物进出口；第一类医疗器械销售；第二类医疗器械销售；住房租赁；非居住房地产租赁；物业管理；供应链管理服务。（除依法须经批准的项目外，凭营业执照依法自主开展经营活动）</w:t>
      </w:r>
    </w:p>
    <w:p w14:paraId="28688B46">
      <w:pPr>
        <w:pStyle w:val="2"/>
        <w:numPr>
          <w:ilvl w:val="-1"/>
          <w:numId w:val="0"/>
        </w:numPr>
        <w:tabs>
          <w:tab w:val="left" w:pos="1050"/>
          <w:tab w:val="clear" w:pos="4684"/>
        </w:tabs>
        <w:spacing w:before="0" w:after="0" w:line="360" w:lineRule="auto"/>
        <w:ind w:left="3675" w:firstLine="0"/>
        <w:jc w:val="both"/>
        <w:rPr>
          <w:rFonts w:hint="eastAsia" w:ascii="宋体" w:hAnsi="宋体" w:eastAsia="宋体" w:cs="宋体"/>
          <w:b/>
          <w:kern w:val="0"/>
          <w:sz w:val="30"/>
          <w:szCs w:val="30"/>
          <w:highlight w:val="none"/>
        </w:rPr>
      </w:pPr>
      <w:bookmarkStart w:id="20" w:name="_Toc418"/>
      <w:bookmarkStart w:id="21" w:name="_Toc15213"/>
      <w:bookmarkStart w:id="22" w:name="_Toc14910"/>
      <w:r>
        <w:rPr>
          <w:rFonts w:hint="eastAsia" w:ascii="宋体" w:hAnsi="宋体" w:eastAsia="宋体" w:cs="宋体"/>
          <w:b/>
          <w:kern w:val="0"/>
          <w:sz w:val="30"/>
          <w:szCs w:val="30"/>
          <w:highlight w:val="none"/>
          <w:lang w:val="en-US" w:eastAsia="zh-CN"/>
        </w:rPr>
        <w:t>第三章</w:t>
      </w:r>
      <w:r>
        <w:rPr>
          <w:rFonts w:hint="eastAsia" w:ascii="宋体" w:hAnsi="宋体" w:eastAsia="宋体" w:cs="宋体"/>
          <w:b/>
          <w:kern w:val="0"/>
          <w:sz w:val="30"/>
          <w:szCs w:val="30"/>
          <w:highlight w:val="none"/>
        </w:rPr>
        <w:t xml:space="preserve">  </w:t>
      </w:r>
      <w:bookmarkStart w:id="23" w:name="_Toc21204"/>
      <w:bookmarkStart w:id="24" w:name="_Toc1105349219"/>
      <w:bookmarkStart w:id="25" w:name="_Toc3148"/>
      <w:bookmarkStart w:id="26" w:name="_Toc30732"/>
      <w:bookmarkStart w:id="27" w:name="_Toc325815139"/>
      <w:bookmarkStart w:id="28" w:name="_Toc5231"/>
      <w:r>
        <w:rPr>
          <w:rFonts w:hint="eastAsia" w:ascii="宋体" w:hAnsi="宋体" w:eastAsia="宋体" w:cs="宋体"/>
          <w:b/>
          <w:kern w:val="0"/>
          <w:sz w:val="30"/>
          <w:szCs w:val="30"/>
          <w:highlight w:val="none"/>
        </w:rPr>
        <w:t>股份</w:t>
      </w:r>
      <w:bookmarkEnd w:id="20"/>
      <w:bookmarkEnd w:id="21"/>
      <w:bookmarkEnd w:id="22"/>
      <w:bookmarkEnd w:id="23"/>
      <w:bookmarkEnd w:id="24"/>
      <w:bookmarkEnd w:id="25"/>
      <w:bookmarkEnd w:id="26"/>
      <w:bookmarkEnd w:id="27"/>
      <w:bookmarkEnd w:id="28"/>
    </w:p>
    <w:p w14:paraId="2525637E">
      <w:pPr>
        <w:pStyle w:val="3"/>
        <w:spacing w:before="0" w:after="0" w:line="360" w:lineRule="auto"/>
        <w:rPr>
          <w:rFonts w:hint="eastAsia" w:ascii="宋体" w:hAnsi="宋体" w:eastAsia="宋体" w:cs="宋体"/>
          <w:b/>
          <w:snapToGrid w:val="0"/>
          <w:sz w:val="24"/>
          <w:szCs w:val="24"/>
          <w:highlight w:val="none"/>
        </w:rPr>
      </w:pPr>
      <w:bookmarkStart w:id="29" w:name="_Toc6868"/>
      <w:bookmarkStart w:id="30" w:name="_Toc422141918"/>
      <w:bookmarkStart w:id="31" w:name="_Toc1870777183"/>
      <w:bookmarkStart w:id="32" w:name="_Toc10130"/>
      <w:bookmarkStart w:id="33" w:name="_Toc22918"/>
      <w:bookmarkStart w:id="34" w:name="_Toc325815140"/>
      <w:bookmarkStart w:id="35" w:name="_Toc31809"/>
      <w:bookmarkStart w:id="36" w:name="_Toc19287"/>
      <w:bookmarkStart w:id="37" w:name="_Toc16989"/>
      <w:bookmarkStart w:id="38" w:name="_Toc203475054"/>
      <w:bookmarkStart w:id="39" w:name="_Toc26185"/>
      <w:r>
        <w:rPr>
          <w:rFonts w:hint="eastAsia" w:ascii="宋体" w:hAnsi="宋体" w:eastAsia="宋体" w:cs="宋体"/>
          <w:b/>
          <w:snapToGrid w:val="0"/>
          <w:sz w:val="24"/>
          <w:szCs w:val="24"/>
          <w:highlight w:val="none"/>
        </w:rPr>
        <w:t>第一节  股份发行</w:t>
      </w:r>
      <w:bookmarkEnd w:id="29"/>
      <w:bookmarkEnd w:id="30"/>
      <w:bookmarkEnd w:id="31"/>
      <w:bookmarkEnd w:id="32"/>
      <w:bookmarkEnd w:id="33"/>
      <w:bookmarkEnd w:id="34"/>
      <w:bookmarkEnd w:id="35"/>
      <w:bookmarkEnd w:id="36"/>
      <w:bookmarkEnd w:id="37"/>
      <w:bookmarkEnd w:id="38"/>
      <w:bookmarkEnd w:id="39"/>
    </w:p>
    <w:p w14:paraId="1C710BA2">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公司的股份采取股票的形式。</w:t>
      </w:r>
    </w:p>
    <w:p w14:paraId="330737E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公司股份的发行，实行公开、公平、公正的原则，同种类的每一股份具有同等权利。</w:t>
      </w:r>
    </w:p>
    <w:p w14:paraId="3628823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同次发行的同种类股票，每股的发行条件和价格应当相同；任何单位或者个人所认购的股份，每股应当支付相同价额。</w:t>
      </w:r>
    </w:p>
    <w:p w14:paraId="22EC2324">
      <w:pPr>
        <w:numPr>
          <w:ilvl w:val="0"/>
          <w:numId w:val="7"/>
        </w:numPr>
        <w:spacing w:line="360" w:lineRule="auto"/>
        <w:ind w:firstLine="524"/>
        <w:rPr>
          <w:rFonts w:hint="eastAsia" w:ascii="宋体" w:hAnsi="宋体" w:cs="宋体"/>
          <w:snapToGrid w:val="0"/>
          <w:sz w:val="24"/>
          <w:highlight w:val="none"/>
        </w:rPr>
      </w:pPr>
      <w:r>
        <w:rPr>
          <w:rFonts w:hint="eastAsia" w:ascii="宋体" w:hAnsi="宋体" w:cs="宋体"/>
          <w:snapToGrid w:val="0"/>
          <w:sz w:val="24"/>
          <w:highlight w:val="none"/>
        </w:rPr>
        <w:t>公司发行的股票，以人民币标明面值，每股面值为人民币壹元。</w:t>
      </w:r>
    </w:p>
    <w:p w14:paraId="103DCF3B">
      <w:pPr>
        <w:numPr>
          <w:ilvl w:val="0"/>
          <w:numId w:val="7"/>
        </w:numPr>
        <w:spacing w:line="360" w:lineRule="auto"/>
        <w:rPr>
          <w:rFonts w:hint="eastAsia" w:ascii="宋体" w:hAnsi="宋体" w:cs="宋体"/>
          <w:sz w:val="24"/>
          <w:szCs w:val="24"/>
          <w:highlight w:val="none"/>
        </w:rPr>
      </w:pPr>
      <w:r>
        <w:rPr>
          <w:rFonts w:hint="eastAsia" w:ascii="宋体" w:hAnsi="宋体" w:cs="宋体"/>
          <w:sz w:val="24"/>
          <w:szCs w:val="24"/>
          <w:highlight w:val="none"/>
        </w:rPr>
        <w:t>公司发行的股份，在中国证券登记结算有限责任公司深圳分公司（以下简称“证券登记机构”）集中存管。</w:t>
      </w:r>
    </w:p>
    <w:p w14:paraId="397FE139">
      <w:pPr>
        <w:numPr>
          <w:ilvl w:val="0"/>
          <w:numId w:val="7"/>
        </w:numPr>
        <w:spacing w:line="360" w:lineRule="auto"/>
        <w:rPr>
          <w:rFonts w:hint="eastAsia" w:ascii="宋体" w:hAnsi="宋体" w:cs="宋体"/>
          <w:szCs w:val="25"/>
          <w:highlight w:val="none"/>
        </w:rPr>
      </w:pPr>
      <w:r>
        <w:rPr>
          <w:rFonts w:hint="eastAsia" w:ascii="宋体" w:hAnsi="宋体" w:cs="宋体"/>
          <w:snapToGrid w:val="0"/>
          <w:sz w:val="24"/>
          <w:highlight w:val="none"/>
        </w:rPr>
        <w:t>公司发起人、发起人认购的股份数额、出资时间和出资方式详见下表所列示：</w:t>
      </w:r>
    </w:p>
    <w:tbl>
      <w:tblPr>
        <w:tblStyle w:val="19"/>
        <w:tblW w:w="938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7"/>
        <w:gridCol w:w="2693"/>
        <w:gridCol w:w="1985"/>
        <w:gridCol w:w="2268"/>
        <w:gridCol w:w="1601"/>
      </w:tblGrid>
      <w:tr w14:paraId="0FC3A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top w:val="double" w:color="auto" w:sz="4" w:space="0"/>
              <w:bottom w:val="single" w:color="auto" w:sz="6" w:space="0"/>
            </w:tcBorders>
            <w:shd w:val="clear" w:color="auto" w:fill="D9D9D9"/>
            <w:noWrap w:val="0"/>
            <w:vAlign w:val="center"/>
          </w:tcPr>
          <w:p w14:paraId="06B73894">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序号</w:t>
            </w:r>
          </w:p>
        </w:tc>
        <w:tc>
          <w:tcPr>
            <w:tcW w:w="2693" w:type="dxa"/>
            <w:tcBorders>
              <w:top w:val="double" w:color="auto" w:sz="4" w:space="0"/>
              <w:bottom w:val="single" w:color="auto" w:sz="6" w:space="0"/>
            </w:tcBorders>
            <w:shd w:val="clear" w:color="auto" w:fill="D9D9D9"/>
            <w:noWrap w:val="0"/>
            <w:vAlign w:val="center"/>
          </w:tcPr>
          <w:p w14:paraId="0DD1CA4A">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发起人姓名</w:t>
            </w:r>
          </w:p>
          <w:p w14:paraId="3E1758F6">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（名称）</w:t>
            </w:r>
          </w:p>
        </w:tc>
        <w:tc>
          <w:tcPr>
            <w:tcW w:w="1985" w:type="dxa"/>
            <w:tcBorders>
              <w:top w:val="double" w:color="auto" w:sz="4" w:space="0"/>
              <w:bottom w:val="single" w:color="auto" w:sz="6" w:space="0"/>
              <w:right w:val="single" w:color="auto" w:sz="4" w:space="0"/>
            </w:tcBorders>
            <w:shd w:val="clear" w:color="auto" w:fill="D9D9D9"/>
            <w:noWrap w:val="0"/>
            <w:vAlign w:val="center"/>
          </w:tcPr>
          <w:p w14:paraId="6ADF187A">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持有股份数额</w:t>
            </w:r>
          </w:p>
          <w:p w14:paraId="6C77A9F0">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（股）</w:t>
            </w:r>
          </w:p>
        </w:tc>
        <w:tc>
          <w:tcPr>
            <w:tcW w:w="2268" w:type="dxa"/>
            <w:tcBorders>
              <w:top w:val="double" w:color="auto" w:sz="4" w:space="0"/>
              <w:left w:val="single" w:color="auto" w:sz="4" w:space="0"/>
              <w:bottom w:val="single" w:color="auto" w:sz="6" w:space="0"/>
            </w:tcBorders>
            <w:shd w:val="clear" w:color="auto" w:fill="D9D9D9"/>
            <w:noWrap w:val="0"/>
            <w:vAlign w:val="center"/>
          </w:tcPr>
          <w:p w14:paraId="35A367B7">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出资时间</w:t>
            </w:r>
          </w:p>
        </w:tc>
        <w:tc>
          <w:tcPr>
            <w:tcW w:w="1601" w:type="dxa"/>
            <w:tcBorders>
              <w:top w:val="double" w:color="auto" w:sz="4" w:space="0"/>
              <w:bottom w:val="single" w:color="auto" w:sz="6" w:space="0"/>
            </w:tcBorders>
            <w:shd w:val="clear" w:color="auto" w:fill="D9D9D9"/>
            <w:noWrap w:val="0"/>
            <w:vAlign w:val="center"/>
          </w:tcPr>
          <w:p w14:paraId="5AB8E52B">
            <w:pPr>
              <w:spacing w:line="360" w:lineRule="auto"/>
              <w:jc w:val="center"/>
              <w:rPr>
                <w:rFonts w:hint="eastAsia" w:ascii="宋体" w:hAnsi="宋体" w:cs="宋体"/>
                <w:b/>
                <w:snapToGrid w:val="0"/>
                <w:szCs w:val="21"/>
                <w:highlight w:val="none"/>
              </w:rPr>
            </w:pPr>
            <w:r>
              <w:rPr>
                <w:rFonts w:hint="eastAsia" w:ascii="宋体" w:hAnsi="宋体" w:cs="宋体"/>
                <w:b/>
                <w:snapToGrid w:val="0"/>
                <w:szCs w:val="21"/>
                <w:highlight w:val="none"/>
              </w:rPr>
              <w:t>出资方式</w:t>
            </w:r>
          </w:p>
        </w:tc>
      </w:tr>
      <w:tr w14:paraId="5C182B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top w:val="single" w:color="auto" w:sz="6" w:space="0"/>
            </w:tcBorders>
            <w:noWrap w:val="0"/>
            <w:vAlign w:val="center"/>
          </w:tcPr>
          <w:p w14:paraId="4E4AB9E9">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w:t>
            </w:r>
          </w:p>
        </w:tc>
        <w:tc>
          <w:tcPr>
            <w:tcW w:w="2693" w:type="dxa"/>
            <w:tcBorders>
              <w:top w:val="single" w:color="auto" w:sz="6" w:space="0"/>
            </w:tcBorders>
            <w:noWrap w:val="0"/>
            <w:vAlign w:val="center"/>
          </w:tcPr>
          <w:p w14:paraId="6ACF3F89">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周孝伟</w:t>
            </w:r>
          </w:p>
        </w:tc>
        <w:tc>
          <w:tcPr>
            <w:tcW w:w="1985" w:type="dxa"/>
            <w:tcBorders>
              <w:top w:val="single" w:color="auto" w:sz="6" w:space="0"/>
              <w:right w:val="single" w:color="auto" w:sz="4" w:space="0"/>
            </w:tcBorders>
            <w:noWrap w:val="0"/>
            <w:vAlign w:val="center"/>
          </w:tcPr>
          <w:p w14:paraId="5859D433">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66,335,000</w:t>
            </w:r>
          </w:p>
        </w:tc>
        <w:tc>
          <w:tcPr>
            <w:tcW w:w="2268" w:type="dxa"/>
            <w:tcBorders>
              <w:top w:val="single" w:color="auto" w:sz="6" w:space="0"/>
              <w:left w:val="single" w:color="auto" w:sz="4" w:space="0"/>
            </w:tcBorders>
            <w:noWrap w:val="0"/>
            <w:vAlign w:val="center"/>
          </w:tcPr>
          <w:p w14:paraId="2CD6BD3D">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tcBorders>
              <w:top w:val="single" w:color="auto" w:sz="6" w:space="0"/>
            </w:tcBorders>
            <w:noWrap w:val="0"/>
            <w:vAlign w:val="center"/>
          </w:tcPr>
          <w:p w14:paraId="0A569CA4">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36ED4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6253FBDC">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2</w:t>
            </w:r>
          </w:p>
        </w:tc>
        <w:tc>
          <w:tcPr>
            <w:tcW w:w="2693" w:type="dxa"/>
            <w:noWrap w:val="0"/>
            <w:vAlign w:val="center"/>
          </w:tcPr>
          <w:p w14:paraId="62A55B52">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罗素玲</w:t>
            </w:r>
          </w:p>
        </w:tc>
        <w:tc>
          <w:tcPr>
            <w:tcW w:w="1985" w:type="dxa"/>
            <w:tcBorders>
              <w:right w:val="single" w:color="auto" w:sz="4" w:space="0"/>
            </w:tcBorders>
            <w:noWrap w:val="0"/>
            <w:vAlign w:val="center"/>
          </w:tcPr>
          <w:p w14:paraId="27355155">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12,537,500</w:t>
            </w:r>
          </w:p>
        </w:tc>
        <w:tc>
          <w:tcPr>
            <w:tcW w:w="2268" w:type="dxa"/>
            <w:tcBorders>
              <w:left w:val="single" w:color="auto" w:sz="4" w:space="0"/>
            </w:tcBorders>
            <w:noWrap w:val="0"/>
            <w:vAlign w:val="center"/>
          </w:tcPr>
          <w:p w14:paraId="1C9E2D9C">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3AD94E01">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266B5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234F23E5">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3</w:t>
            </w:r>
          </w:p>
        </w:tc>
        <w:tc>
          <w:tcPr>
            <w:tcW w:w="2693" w:type="dxa"/>
            <w:noWrap w:val="0"/>
            <w:vAlign w:val="center"/>
          </w:tcPr>
          <w:p w14:paraId="329FADC2">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罗耀东</w:t>
            </w:r>
          </w:p>
        </w:tc>
        <w:tc>
          <w:tcPr>
            <w:tcW w:w="1985" w:type="dxa"/>
            <w:tcBorders>
              <w:right w:val="single" w:color="auto" w:sz="4" w:space="0"/>
            </w:tcBorders>
            <w:noWrap w:val="0"/>
            <w:vAlign w:val="center"/>
          </w:tcPr>
          <w:p w14:paraId="783C5510">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7,500,000</w:t>
            </w:r>
          </w:p>
        </w:tc>
        <w:tc>
          <w:tcPr>
            <w:tcW w:w="2268" w:type="dxa"/>
            <w:tcBorders>
              <w:left w:val="single" w:color="auto" w:sz="4" w:space="0"/>
            </w:tcBorders>
            <w:noWrap w:val="0"/>
            <w:vAlign w:val="center"/>
          </w:tcPr>
          <w:p w14:paraId="3633C652">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545645C3">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0B4CA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36FDD0E2">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4</w:t>
            </w:r>
          </w:p>
        </w:tc>
        <w:tc>
          <w:tcPr>
            <w:tcW w:w="2693" w:type="dxa"/>
            <w:noWrap w:val="0"/>
            <w:vAlign w:val="center"/>
          </w:tcPr>
          <w:p w14:paraId="5A4E70DA">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东莞市天祺股权投资有限公司</w:t>
            </w:r>
          </w:p>
        </w:tc>
        <w:tc>
          <w:tcPr>
            <w:tcW w:w="1985" w:type="dxa"/>
            <w:tcBorders>
              <w:right w:val="single" w:color="auto" w:sz="4" w:space="0"/>
            </w:tcBorders>
            <w:noWrap w:val="0"/>
            <w:vAlign w:val="center"/>
          </w:tcPr>
          <w:p w14:paraId="0AC3F8F6">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5,000,000</w:t>
            </w:r>
          </w:p>
        </w:tc>
        <w:tc>
          <w:tcPr>
            <w:tcW w:w="2268" w:type="dxa"/>
            <w:tcBorders>
              <w:left w:val="single" w:color="auto" w:sz="4" w:space="0"/>
            </w:tcBorders>
            <w:noWrap w:val="0"/>
            <w:vAlign w:val="center"/>
          </w:tcPr>
          <w:p w14:paraId="156109E1">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36A35B6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3F49D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6D4E73CE">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5</w:t>
            </w:r>
          </w:p>
        </w:tc>
        <w:tc>
          <w:tcPr>
            <w:tcW w:w="2693" w:type="dxa"/>
            <w:noWrap w:val="0"/>
            <w:vAlign w:val="center"/>
          </w:tcPr>
          <w:p w14:paraId="6060BA0B">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何祖兵</w:t>
            </w:r>
          </w:p>
        </w:tc>
        <w:tc>
          <w:tcPr>
            <w:tcW w:w="1985" w:type="dxa"/>
            <w:tcBorders>
              <w:right w:val="single" w:color="auto" w:sz="4" w:space="0"/>
            </w:tcBorders>
            <w:noWrap w:val="0"/>
            <w:vAlign w:val="center"/>
          </w:tcPr>
          <w:p w14:paraId="4377EB2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2,500,000</w:t>
            </w:r>
          </w:p>
        </w:tc>
        <w:tc>
          <w:tcPr>
            <w:tcW w:w="2268" w:type="dxa"/>
            <w:tcBorders>
              <w:left w:val="single" w:color="auto" w:sz="4" w:space="0"/>
            </w:tcBorders>
            <w:noWrap w:val="0"/>
            <w:vAlign w:val="center"/>
          </w:tcPr>
          <w:p w14:paraId="203DB6B7">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2AEA3161">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5CCFA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52D4295C">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6</w:t>
            </w:r>
          </w:p>
        </w:tc>
        <w:tc>
          <w:tcPr>
            <w:tcW w:w="2693" w:type="dxa"/>
            <w:noWrap w:val="0"/>
            <w:vAlign w:val="center"/>
          </w:tcPr>
          <w:p w14:paraId="33B8559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许建文</w:t>
            </w:r>
          </w:p>
        </w:tc>
        <w:tc>
          <w:tcPr>
            <w:tcW w:w="1985" w:type="dxa"/>
            <w:tcBorders>
              <w:right w:val="single" w:color="auto" w:sz="4" w:space="0"/>
            </w:tcBorders>
            <w:noWrap w:val="0"/>
            <w:vAlign w:val="center"/>
          </w:tcPr>
          <w:p w14:paraId="7B15F8D4">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1,250,000</w:t>
            </w:r>
          </w:p>
        </w:tc>
        <w:tc>
          <w:tcPr>
            <w:tcW w:w="2268" w:type="dxa"/>
            <w:tcBorders>
              <w:left w:val="single" w:color="auto" w:sz="4" w:space="0"/>
            </w:tcBorders>
            <w:noWrap w:val="0"/>
            <w:vAlign w:val="center"/>
          </w:tcPr>
          <w:p w14:paraId="1391E4E9">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0C789265">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27B80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18A17AF5">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7</w:t>
            </w:r>
          </w:p>
        </w:tc>
        <w:tc>
          <w:tcPr>
            <w:tcW w:w="2693" w:type="dxa"/>
            <w:noWrap w:val="0"/>
            <w:vAlign w:val="center"/>
          </w:tcPr>
          <w:p w14:paraId="72659A4A">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邓超然</w:t>
            </w:r>
          </w:p>
        </w:tc>
        <w:tc>
          <w:tcPr>
            <w:tcW w:w="1985" w:type="dxa"/>
            <w:tcBorders>
              <w:right w:val="single" w:color="auto" w:sz="4" w:space="0"/>
            </w:tcBorders>
            <w:noWrap w:val="0"/>
            <w:vAlign w:val="center"/>
          </w:tcPr>
          <w:p w14:paraId="29036E4F">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1,000,000</w:t>
            </w:r>
          </w:p>
        </w:tc>
        <w:tc>
          <w:tcPr>
            <w:tcW w:w="2268" w:type="dxa"/>
            <w:tcBorders>
              <w:left w:val="single" w:color="auto" w:sz="4" w:space="0"/>
            </w:tcBorders>
            <w:noWrap w:val="0"/>
            <w:vAlign w:val="center"/>
          </w:tcPr>
          <w:p w14:paraId="1A96FBA5">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0E0ACFB9">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6EA14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211BC9DC">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8</w:t>
            </w:r>
          </w:p>
        </w:tc>
        <w:tc>
          <w:tcPr>
            <w:tcW w:w="2693" w:type="dxa"/>
            <w:noWrap w:val="0"/>
            <w:vAlign w:val="center"/>
          </w:tcPr>
          <w:p w14:paraId="73C4AC57">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贾强</w:t>
            </w:r>
          </w:p>
        </w:tc>
        <w:tc>
          <w:tcPr>
            <w:tcW w:w="1985" w:type="dxa"/>
            <w:tcBorders>
              <w:right w:val="single" w:color="auto" w:sz="4" w:space="0"/>
            </w:tcBorders>
            <w:noWrap w:val="0"/>
            <w:vAlign w:val="center"/>
          </w:tcPr>
          <w:p w14:paraId="700453E6">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825,000</w:t>
            </w:r>
          </w:p>
        </w:tc>
        <w:tc>
          <w:tcPr>
            <w:tcW w:w="2268" w:type="dxa"/>
            <w:tcBorders>
              <w:left w:val="single" w:color="auto" w:sz="4" w:space="0"/>
            </w:tcBorders>
            <w:noWrap w:val="0"/>
            <w:vAlign w:val="center"/>
          </w:tcPr>
          <w:p w14:paraId="71BD9907">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32385AC6">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7FF91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02F996AF">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9</w:t>
            </w:r>
          </w:p>
        </w:tc>
        <w:tc>
          <w:tcPr>
            <w:tcW w:w="2693" w:type="dxa"/>
            <w:noWrap w:val="0"/>
            <w:vAlign w:val="center"/>
          </w:tcPr>
          <w:p w14:paraId="35A60C7A">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王鹏</w:t>
            </w:r>
          </w:p>
        </w:tc>
        <w:tc>
          <w:tcPr>
            <w:tcW w:w="1985" w:type="dxa"/>
            <w:tcBorders>
              <w:right w:val="single" w:color="auto" w:sz="4" w:space="0"/>
            </w:tcBorders>
            <w:noWrap w:val="0"/>
            <w:vAlign w:val="center"/>
          </w:tcPr>
          <w:p w14:paraId="7F07F406">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702,500</w:t>
            </w:r>
          </w:p>
        </w:tc>
        <w:tc>
          <w:tcPr>
            <w:tcW w:w="2268" w:type="dxa"/>
            <w:tcBorders>
              <w:left w:val="single" w:color="auto" w:sz="4" w:space="0"/>
            </w:tcBorders>
            <w:noWrap w:val="0"/>
            <w:vAlign w:val="center"/>
          </w:tcPr>
          <w:p w14:paraId="2AD777CA">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796ECDF9">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0A481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0868E679">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10</w:t>
            </w:r>
          </w:p>
        </w:tc>
        <w:tc>
          <w:tcPr>
            <w:tcW w:w="2693" w:type="dxa"/>
            <w:noWrap w:val="0"/>
            <w:vAlign w:val="center"/>
          </w:tcPr>
          <w:p w14:paraId="01401DA2">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黄伟</w:t>
            </w:r>
          </w:p>
        </w:tc>
        <w:tc>
          <w:tcPr>
            <w:tcW w:w="1985" w:type="dxa"/>
            <w:tcBorders>
              <w:right w:val="single" w:color="auto" w:sz="4" w:space="0"/>
            </w:tcBorders>
            <w:noWrap w:val="0"/>
            <w:vAlign w:val="center"/>
          </w:tcPr>
          <w:p w14:paraId="3389EE57">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687,500</w:t>
            </w:r>
          </w:p>
        </w:tc>
        <w:tc>
          <w:tcPr>
            <w:tcW w:w="2268" w:type="dxa"/>
            <w:tcBorders>
              <w:left w:val="single" w:color="auto" w:sz="4" w:space="0"/>
            </w:tcBorders>
            <w:noWrap w:val="0"/>
            <w:vAlign w:val="center"/>
          </w:tcPr>
          <w:p w14:paraId="7C2B2CB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3C8B6717">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0B1FC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74D6059C">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11</w:t>
            </w:r>
          </w:p>
        </w:tc>
        <w:tc>
          <w:tcPr>
            <w:tcW w:w="2693" w:type="dxa"/>
            <w:noWrap w:val="0"/>
            <w:vAlign w:val="center"/>
          </w:tcPr>
          <w:p w14:paraId="6CD1DFE6">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毛建辉</w:t>
            </w:r>
          </w:p>
        </w:tc>
        <w:tc>
          <w:tcPr>
            <w:tcW w:w="1985" w:type="dxa"/>
            <w:tcBorders>
              <w:right w:val="single" w:color="auto" w:sz="4" w:space="0"/>
            </w:tcBorders>
            <w:noWrap w:val="0"/>
            <w:vAlign w:val="center"/>
          </w:tcPr>
          <w:p w14:paraId="0E7AFE13">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625,000</w:t>
            </w:r>
          </w:p>
        </w:tc>
        <w:tc>
          <w:tcPr>
            <w:tcW w:w="2268" w:type="dxa"/>
            <w:tcBorders>
              <w:left w:val="single" w:color="auto" w:sz="4" w:space="0"/>
            </w:tcBorders>
            <w:noWrap w:val="0"/>
            <w:vAlign w:val="center"/>
          </w:tcPr>
          <w:p w14:paraId="0201B0DD">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7C670DC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1A2394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7F0EC07E">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12</w:t>
            </w:r>
          </w:p>
        </w:tc>
        <w:tc>
          <w:tcPr>
            <w:tcW w:w="2693" w:type="dxa"/>
            <w:noWrap w:val="0"/>
            <w:vAlign w:val="center"/>
          </w:tcPr>
          <w:p w14:paraId="3D2B9460">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唐清迪</w:t>
            </w:r>
          </w:p>
        </w:tc>
        <w:tc>
          <w:tcPr>
            <w:tcW w:w="1985" w:type="dxa"/>
            <w:tcBorders>
              <w:right w:val="single" w:color="auto" w:sz="4" w:space="0"/>
            </w:tcBorders>
            <w:noWrap w:val="0"/>
            <w:vAlign w:val="center"/>
          </w:tcPr>
          <w:p w14:paraId="38A3C35F">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275,000</w:t>
            </w:r>
          </w:p>
        </w:tc>
        <w:tc>
          <w:tcPr>
            <w:tcW w:w="2268" w:type="dxa"/>
            <w:tcBorders>
              <w:left w:val="single" w:color="auto" w:sz="4" w:space="0"/>
            </w:tcBorders>
            <w:noWrap w:val="0"/>
            <w:vAlign w:val="center"/>
          </w:tcPr>
          <w:p w14:paraId="1C8D67BF">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3B3FC584">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31B19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1CA60A9B">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13</w:t>
            </w:r>
          </w:p>
        </w:tc>
        <w:tc>
          <w:tcPr>
            <w:tcW w:w="2693" w:type="dxa"/>
            <w:noWrap w:val="0"/>
            <w:vAlign w:val="center"/>
          </w:tcPr>
          <w:p w14:paraId="38BD1E7C">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夏富彪</w:t>
            </w:r>
          </w:p>
        </w:tc>
        <w:tc>
          <w:tcPr>
            <w:tcW w:w="1985" w:type="dxa"/>
            <w:tcBorders>
              <w:right w:val="single" w:color="auto" w:sz="4" w:space="0"/>
            </w:tcBorders>
            <w:noWrap w:val="0"/>
            <w:vAlign w:val="center"/>
          </w:tcPr>
          <w:p w14:paraId="338385C7">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250,000</w:t>
            </w:r>
          </w:p>
        </w:tc>
        <w:tc>
          <w:tcPr>
            <w:tcW w:w="2268" w:type="dxa"/>
            <w:tcBorders>
              <w:left w:val="single" w:color="auto" w:sz="4" w:space="0"/>
            </w:tcBorders>
            <w:noWrap w:val="0"/>
            <w:vAlign w:val="center"/>
          </w:tcPr>
          <w:p w14:paraId="37F5F02B">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64D2A01A">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2A8D3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6087011E">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14</w:t>
            </w:r>
          </w:p>
        </w:tc>
        <w:tc>
          <w:tcPr>
            <w:tcW w:w="2693" w:type="dxa"/>
            <w:noWrap w:val="0"/>
            <w:vAlign w:val="center"/>
          </w:tcPr>
          <w:p w14:paraId="0F60F9B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胡萍</w:t>
            </w:r>
          </w:p>
        </w:tc>
        <w:tc>
          <w:tcPr>
            <w:tcW w:w="1985" w:type="dxa"/>
            <w:tcBorders>
              <w:right w:val="single" w:color="auto" w:sz="4" w:space="0"/>
            </w:tcBorders>
            <w:noWrap w:val="0"/>
            <w:vAlign w:val="center"/>
          </w:tcPr>
          <w:p w14:paraId="534F6B61">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112,500</w:t>
            </w:r>
          </w:p>
        </w:tc>
        <w:tc>
          <w:tcPr>
            <w:tcW w:w="2268" w:type="dxa"/>
            <w:tcBorders>
              <w:left w:val="single" w:color="auto" w:sz="4" w:space="0"/>
            </w:tcBorders>
            <w:noWrap w:val="0"/>
            <w:vAlign w:val="center"/>
          </w:tcPr>
          <w:p w14:paraId="7E18BB25">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72988758">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232529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noWrap w:val="0"/>
            <w:vAlign w:val="center"/>
          </w:tcPr>
          <w:p w14:paraId="79595C11">
            <w:pPr>
              <w:spacing w:line="360" w:lineRule="auto"/>
              <w:jc w:val="center"/>
              <w:rPr>
                <w:rFonts w:hint="eastAsia" w:ascii="宋体" w:hAnsi="宋体" w:cs="宋体"/>
                <w:snapToGrid w:val="0"/>
                <w:szCs w:val="21"/>
                <w:highlight w:val="none"/>
              </w:rPr>
            </w:pPr>
            <w:r>
              <w:rPr>
                <w:rFonts w:hint="eastAsia" w:ascii="宋体" w:hAnsi="宋体" w:cs="宋体"/>
                <w:szCs w:val="21"/>
                <w:highlight w:val="none"/>
              </w:rPr>
              <w:t>15</w:t>
            </w:r>
          </w:p>
        </w:tc>
        <w:tc>
          <w:tcPr>
            <w:tcW w:w="2693" w:type="dxa"/>
            <w:noWrap w:val="0"/>
            <w:vAlign w:val="center"/>
          </w:tcPr>
          <w:p w14:paraId="04C71200">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李国荣</w:t>
            </w:r>
          </w:p>
        </w:tc>
        <w:tc>
          <w:tcPr>
            <w:tcW w:w="1985" w:type="dxa"/>
            <w:tcBorders>
              <w:right w:val="single" w:color="auto" w:sz="4" w:space="0"/>
            </w:tcBorders>
            <w:noWrap w:val="0"/>
            <w:vAlign w:val="center"/>
          </w:tcPr>
          <w:p w14:paraId="3DFC0CD0">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zCs w:val="21"/>
                <w:highlight w:val="none"/>
              </w:rPr>
              <w:t>400,000</w:t>
            </w:r>
          </w:p>
        </w:tc>
        <w:tc>
          <w:tcPr>
            <w:tcW w:w="2268" w:type="dxa"/>
            <w:tcBorders>
              <w:left w:val="single" w:color="auto" w:sz="4" w:space="0"/>
            </w:tcBorders>
            <w:noWrap w:val="0"/>
            <w:vAlign w:val="center"/>
          </w:tcPr>
          <w:p w14:paraId="211F1245">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2015年7月31日</w:t>
            </w:r>
          </w:p>
        </w:tc>
        <w:tc>
          <w:tcPr>
            <w:tcW w:w="1601" w:type="dxa"/>
            <w:noWrap w:val="0"/>
            <w:vAlign w:val="center"/>
          </w:tcPr>
          <w:p w14:paraId="0370E912">
            <w:pPr>
              <w:adjustRightInd w:val="0"/>
              <w:snapToGrid w:val="0"/>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净资产折股</w:t>
            </w:r>
          </w:p>
        </w:tc>
      </w:tr>
      <w:tr w14:paraId="5858C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530" w:type="dxa"/>
            <w:gridSpan w:val="2"/>
            <w:noWrap w:val="0"/>
            <w:vAlign w:val="center"/>
          </w:tcPr>
          <w:p w14:paraId="2AC4D616">
            <w:pPr>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合  计</w:t>
            </w:r>
          </w:p>
        </w:tc>
        <w:tc>
          <w:tcPr>
            <w:tcW w:w="1985" w:type="dxa"/>
            <w:tcBorders>
              <w:right w:val="single" w:color="auto" w:sz="4" w:space="0"/>
            </w:tcBorders>
            <w:noWrap w:val="0"/>
            <w:vAlign w:val="center"/>
          </w:tcPr>
          <w:p w14:paraId="297586FF">
            <w:pPr>
              <w:spacing w:line="360" w:lineRule="auto"/>
              <w:jc w:val="center"/>
              <w:rPr>
                <w:rFonts w:hint="eastAsia" w:ascii="宋体" w:hAnsi="宋体" w:cs="宋体"/>
                <w:snapToGrid w:val="0"/>
                <w:szCs w:val="21"/>
                <w:highlight w:val="none"/>
              </w:rPr>
            </w:pPr>
            <w:r>
              <w:rPr>
                <w:rFonts w:hint="eastAsia" w:ascii="宋体" w:hAnsi="宋体" w:cs="宋体"/>
                <w:b/>
                <w:bCs/>
                <w:szCs w:val="21"/>
                <w:highlight w:val="none"/>
              </w:rPr>
              <w:t>100,000,000.00</w:t>
            </w:r>
          </w:p>
        </w:tc>
        <w:tc>
          <w:tcPr>
            <w:tcW w:w="2268" w:type="dxa"/>
            <w:tcBorders>
              <w:left w:val="single" w:color="auto" w:sz="4" w:space="0"/>
            </w:tcBorders>
            <w:noWrap w:val="0"/>
            <w:vAlign w:val="center"/>
          </w:tcPr>
          <w:p w14:paraId="266DFAEC">
            <w:pPr>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w:t>
            </w:r>
          </w:p>
        </w:tc>
        <w:tc>
          <w:tcPr>
            <w:tcW w:w="1601" w:type="dxa"/>
            <w:noWrap w:val="0"/>
            <w:vAlign w:val="center"/>
          </w:tcPr>
          <w:p w14:paraId="67DBD8AC">
            <w:pPr>
              <w:spacing w:line="360" w:lineRule="auto"/>
              <w:jc w:val="center"/>
              <w:rPr>
                <w:rFonts w:hint="eastAsia" w:ascii="宋体" w:hAnsi="宋体" w:cs="宋体"/>
                <w:snapToGrid w:val="0"/>
                <w:szCs w:val="21"/>
                <w:highlight w:val="none"/>
              </w:rPr>
            </w:pPr>
            <w:r>
              <w:rPr>
                <w:rFonts w:hint="eastAsia" w:ascii="宋体" w:hAnsi="宋体" w:cs="宋体"/>
                <w:snapToGrid w:val="0"/>
                <w:szCs w:val="21"/>
                <w:highlight w:val="none"/>
              </w:rPr>
              <w:t>-</w:t>
            </w:r>
          </w:p>
        </w:tc>
      </w:tr>
    </w:tbl>
    <w:p w14:paraId="638F7530">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公司股份总数额为</w:t>
      </w:r>
      <w:r>
        <w:rPr>
          <w:rFonts w:hint="eastAsia" w:ascii="宋体" w:hAnsi="宋体" w:cs="宋体"/>
          <w:sz w:val="24"/>
          <w:highlight w:val="none"/>
        </w:rPr>
        <w:t>176,798,300</w:t>
      </w:r>
      <w:r>
        <w:rPr>
          <w:rFonts w:hint="eastAsia" w:ascii="宋体" w:hAnsi="宋体" w:cs="宋体"/>
          <w:snapToGrid w:val="0"/>
          <w:sz w:val="24"/>
          <w:highlight w:val="none"/>
        </w:rPr>
        <w:t>股，全部为普通股。</w:t>
      </w:r>
    </w:p>
    <w:p w14:paraId="24318B9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公司或公司的子公司（包括公司的附属企业）不以赠与、垫资、担保、补偿或贷款等形式，对购买或者拟购买公司股份的人提供任何资助。</w:t>
      </w:r>
    </w:p>
    <w:p w14:paraId="6112FA16">
      <w:pPr>
        <w:pStyle w:val="3"/>
        <w:spacing w:before="0" w:after="0" w:line="360" w:lineRule="auto"/>
        <w:rPr>
          <w:rFonts w:hint="eastAsia" w:ascii="宋体" w:hAnsi="宋体" w:eastAsia="宋体" w:cs="宋体"/>
          <w:b/>
          <w:snapToGrid w:val="0"/>
          <w:sz w:val="24"/>
          <w:szCs w:val="24"/>
          <w:highlight w:val="none"/>
        </w:rPr>
      </w:pPr>
      <w:bookmarkStart w:id="40" w:name="_Toc27778"/>
      <w:bookmarkStart w:id="41" w:name="_Toc844038954"/>
      <w:bookmarkStart w:id="42" w:name="_Toc203475055"/>
      <w:bookmarkStart w:id="43" w:name="_Toc19504"/>
      <w:bookmarkStart w:id="44" w:name="_Toc22868"/>
      <w:bookmarkStart w:id="45" w:name="_Toc22483"/>
      <w:bookmarkStart w:id="46" w:name="_Toc9899"/>
      <w:bookmarkStart w:id="47" w:name="_Toc16232"/>
      <w:bookmarkStart w:id="48" w:name="_Toc422141919"/>
      <w:bookmarkStart w:id="49" w:name="_Toc25386"/>
      <w:bookmarkStart w:id="50" w:name="_Toc325815141"/>
      <w:r>
        <w:rPr>
          <w:rFonts w:hint="eastAsia" w:ascii="宋体" w:hAnsi="宋体" w:eastAsia="宋体" w:cs="宋体"/>
          <w:b/>
          <w:snapToGrid w:val="0"/>
          <w:sz w:val="24"/>
          <w:szCs w:val="24"/>
          <w:highlight w:val="none"/>
        </w:rPr>
        <w:t>第二节  股份增减和回购</w:t>
      </w:r>
      <w:bookmarkEnd w:id="40"/>
      <w:bookmarkEnd w:id="41"/>
      <w:bookmarkEnd w:id="42"/>
      <w:bookmarkEnd w:id="43"/>
      <w:bookmarkEnd w:id="44"/>
      <w:bookmarkEnd w:id="45"/>
      <w:bookmarkEnd w:id="46"/>
      <w:bookmarkEnd w:id="47"/>
      <w:bookmarkEnd w:id="48"/>
      <w:bookmarkEnd w:id="49"/>
      <w:bookmarkEnd w:id="50"/>
    </w:p>
    <w:p w14:paraId="2DFEAFC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公司根据经营和发展的需要，依照法律、法规的规定，经股东大会分别作出决议，可以采用下列方式增加资本：</w:t>
      </w:r>
    </w:p>
    <w:p w14:paraId="0CB2169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（一）公开发行股份；</w:t>
      </w:r>
    </w:p>
    <w:p w14:paraId="7FA0604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（二）非公开发行股份；</w:t>
      </w:r>
    </w:p>
    <w:p w14:paraId="479CB21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（三）向现有股东派送红股；</w:t>
      </w:r>
    </w:p>
    <w:p w14:paraId="526C8FF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（四）以公积金转增股本；</w:t>
      </w:r>
    </w:p>
    <w:p w14:paraId="630F664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（五）法律、行政法规规定以及政府有权机关批准的其他方式。</w:t>
      </w:r>
    </w:p>
    <w:p w14:paraId="02D98BE7">
      <w:pPr>
        <w:numPr>
          <w:ilvl w:val="0"/>
          <w:numId w:val="7"/>
        </w:numPr>
        <w:spacing w:line="360" w:lineRule="auto"/>
        <w:rPr>
          <w:rFonts w:hint="eastAsia" w:ascii="宋体" w:hAnsi="宋体" w:cs="宋体"/>
          <w:snapToGrid w:val="0"/>
          <w:sz w:val="24"/>
          <w:highlight w:val="none"/>
        </w:rPr>
      </w:pPr>
      <w:r>
        <w:rPr>
          <w:rFonts w:hint="eastAsia" w:ascii="宋体" w:hAnsi="宋体" w:cs="宋体"/>
          <w:sz w:val="24"/>
          <w:highlight w:val="none"/>
        </w:rPr>
        <w:t xml:space="preserve"> </w:t>
      </w:r>
      <w:r>
        <w:rPr>
          <w:rFonts w:hint="eastAsia" w:ascii="宋体" w:hAnsi="宋体" w:cs="宋体"/>
          <w:snapToGrid w:val="0"/>
          <w:sz w:val="24"/>
          <w:highlight w:val="none"/>
        </w:rPr>
        <w:t>公司可以减少注册资本。公司减少注册资本，应当按照《公司法》以及其他有关规定和本章程规定的程序办理。</w:t>
      </w:r>
    </w:p>
    <w:p w14:paraId="5171A08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公司在下列情况下，可以依照法律、行政法规、部门规章和本章程的规定，收购公司的股份：</w:t>
      </w:r>
    </w:p>
    <w:p w14:paraId="32973D2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（一）减少公司注册资本；</w:t>
      </w:r>
    </w:p>
    <w:p w14:paraId="4253FB2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（二）与持有本公司股票的其他公司合并；</w:t>
      </w:r>
    </w:p>
    <w:p w14:paraId="293E871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（三）将股份用于员工持股计划或者股权激励；</w:t>
      </w:r>
    </w:p>
    <w:p w14:paraId="1D6B923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（四）股东因对股东大会作出的公司合并、分立决议持异议，要求公司收购其股份的。</w:t>
      </w:r>
    </w:p>
    <w:p w14:paraId="02F6060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（五）将股份用于转换公司发行的可转换为股票的公司债券；</w:t>
      </w:r>
    </w:p>
    <w:p w14:paraId="601D8A8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（六）公司为维护公司价值及股东权益所必需。</w:t>
      </w:r>
    </w:p>
    <w:p w14:paraId="5A11A0F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除上述情形外，公司不得收购本公司股份。</w:t>
      </w:r>
    </w:p>
    <w:p w14:paraId="5AE19F3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公司收购本公司股份，可以</w:t>
      </w:r>
      <w:r>
        <w:rPr>
          <w:rFonts w:hint="eastAsia" w:ascii="宋体" w:hAnsi="宋体" w:cs="宋体"/>
          <w:snapToGrid w:val="0"/>
          <w:sz w:val="24"/>
          <w:szCs w:val="24"/>
          <w:highlight w:val="none"/>
        </w:rPr>
        <w:t>通过公开的集中交易方式，或者法律法规和中国证券监督管理委员会认可的其他方式进行</w:t>
      </w:r>
      <w:r>
        <w:rPr>
          <w:rFonts w:hint="eastAsia" w:ascii="宋体" w:hAnsi="宋体" w:cs="宋体"/>
          <w:snapToGrid w:val="0"/>
          <w:sz w:val="24"/>
          <w:highlight w:val="none"/>
        </w:rPr>
        <w:t>。</w:t>
      </w:r>
    </w:p>
    <w:p w14:paraId="7B401B61">
      <w:pPr>
        <w:spacing w:line="360" w:lineRule="auto"/>
        <w:ind w:left="-96" w:firstLine="480"/>
        <w:rPr>
          <w:rFonts w:hint="eastAsia" w:ascii="宋体" w:hAnsi="宋体" w:cs="宋体"/>
          <w:snapToGrid w:val="0"/>
          <w:sz w:val="24"/>
          <w:highlight w:val="none"/>
        </w:rPr>
      </w:pPr>
      <w:r>
        <w:rPr>
          <w:rFonts w:hint="eastAsia" w:ascii="宋体" w:hAnsi="宋体" w:cs="宋体"/>
          <w:snapToGrid w:val="0"/>
          <w:sz w:val="24"/>
          <w:highlight w:val="none"/>
        </w:rPr>
        <w:t>公司因本章程第二十五条第（三）项、第（五）项、第（六）项规定的情形收购本公司股份的，应当通过公开的集中交易方式进行。</w:t>
      </w:r>
    </w:p>
    <w:p w14:paraId="57CACC0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公司因本章程第二十五条第（一）项、第（二）项规定的情形收购本公司股份的，应当经股东大会决议；公司因本章程第二十五条第（三）项、第（五）项、第（六）项规定的情形收购本公司股份的，</w:t>
      </w:r>
      <w:r>
        <w:rPr>
          <w:rFonts w:hint="eastAsia" w:ascii="宋体" w:hAnsi="宋体" w:cs="宋体"/>
          <w:snapToGrid w:val="0"/>
          <w:sz w:val="24"/>
          <w:highlight w:val="none"/>
          <w:lang w:val="en-US" w:eastAsia="zh-CN"/>
        </w:rPr>
        <w:t>应当</w:t>
      </w:r>
      <w:r>
        <w:rPr>
          <w:rFonts w:hint="eastAsia" w:ascii="宋体" w:hAnsi="宋体" w:cs="宋体"/>
          <w:snapToGrid w:val="0"/>
          <w:sz w:val="24"/>
          <w:highlight w:val="none"/>
        </w:rPr>
        <w:t>经三分之二以上董事出席的董事会会议决议</w:t>
      </w:r>
      <w:r>
        <w:rPr>
          <w:rFonts w:hint="eastAsia" w:ascii="宋体" w:hAnsi="宋体" w:cs="宋体"/>
          <w:snapToGrid w:val="0"/>
          <w:sz w:val="24"/>
          <w:highlight w:val="none"/>
          <w:lang w:eastAsia="zh-CN"/>
        </w:rPr>
        <w:t>，</w:t>
      </w:r>
      <w:r>
        <w:rPr>
          <w:rFonts w:hint="eastAsia" w:ascii="宋体" w:hAnsi="宋体" w:cs="宋体"/>
          <w:snapToGrid w:val="0"/>
          <w:sz w:val="24"/>
          <w:highlight w:val="none"/>
        </w:rPr>
        <w:t>无需提交股东大会审议。</w:t>
      </w:r>
    </w:p>
    <w:p w14:paraId="6D2B0C8B">
      <w:pPr>
        <w:spacing w:line="360" w:lineRule="auto"/>
        <w:ind w:left="-96" w:firstLine="480"/>
        <w:rPr>
          <w:rFonts w:hint="eastAsia" w:ascii="宋体" w:hAnsi="宋体" w:cs="宋体"/>
          <w:snapToGrid w:val="0"/>
          <w:sz w:val="24"/>
          <w:highlight w:val="none"/>
        </w:rPr>
      </w:pPr>
      <w:r>
        <w:rPr>
          <w:rFonts w:hint="eastAsia" w:ascii="宋体" w:hAnsi="宋体" w:cs="宋体"/>
          <w:snapToGrid w:val="0"/>
          <w:sz w:val="24"/>
          <w:highlight w:val="none"/>
        </w:rPr>
        <w:t>公司依照本章程第二十五条规定收购本公司股份后，属于第（一）项情形的， 应当自收购之日起10日内注销；属于第（二）项、第（四）项情形的，应当在6个月内转让或者注销；属于第（三）项、第（五）项、第（六）项情形的，公司合计持有的本公司股份数不得超过本公司已发行股份总额的</w:t>
      </w:r>
      <w:r>
        <w:rPr>
          <w:rFonts w:ascii="宋体" w:hAnsi="宋体" w:cs="宋体"/>
          <w:snapToGrid w:val="0"/>
          <w:sz w:val="24"/>
          <w:highlight w:val="none"/>
        </w:rPr>
        <w:t>百分之十</w:t>
      </w:r>
      <w:r>
        <w:rPr>
          <w:rFonts w:hint="eastAsia" w:ascii="宋体" w:hAnsi="宋体" w:cs="宋体"/>
          <w:snapToGrid w:val="0"/>
          <w:sz w:val="24"/>
          <w:highlight w:val="none"/>
        </w:rPr>
        <w:t>，并应当在</w:t>
      </w:r>
      <w:r>
        <w:rPr>
          <w:rFonts w:ascii="宋体" w:hAnsi="宋体" w:cs="宋体"/>
          <w:snapToGrid w:val="0"/>
          <w:sz w:val="24"/>
          <w:highlight w:val="none"/>
        </w:rPr>
        <w:t>三</w:t>
      </w:r>
      <w:r>
        <w:rPr>
          <w:rFonts w:hint="eastAsia" w:ascii="宋体" w:hAnsi="宋体" w:cs="宋体"/>
          <w:snapToGrid w:val="0"/>
          <w:sz w:val="24"/>
          <w:highlight w:val="none"/>
        </w:rPr>
        <w:t>年内转让或者注销。</w:t>
      </w:r>
    </w:p>
    <w:p w14:paraId="1DB695E6">
      <w:pPr>
        <w:pStyle w:val="3"/>
        <w:spacing w:before="0" w:after="0" w:line="360" w:lineRule="auto"/>
        <w:rPr>
          <w:rFonts w:hint="eastAsia" w:ascii="宋体" w:hAnsi="宋体" w:eastAsia="宋体" w:cs="宋体"/>
          <w:b/>
          <w:snapToGrid w:val="0"/>
          <w:sz w:val="24"/>
          <w:szCs w:val="24"/>
          <w:highlight w:val="none"/>
        </w:rPr>
      </w:pPr>
      <w:bookmarkStart w:id="51" w:name="_Toc21663"/>
      <w:bookmarkStart w:id="52" w:name="_Toc203475056"/>
      <w:bookmarkStart w:id="53" w:name="_Toc1633211443"/>
      <w:bookmarkStart w:id="54" w:name="_Toc4441"/>
      <w:bookmarkStart w:id="55" w:name="_Toc16143"/>
      <w:bookmarkStart w:id="56" w:name="_Toc23267"/>
      <w:bookmarkStart w:id="57" w:name="_Toc325815142"/>
      <w:bookmarkStart w:id="58" w:name="_Toc6873"/>
      <w:bookmarkStart w:id="59" w:name="_Toc7395"/>
      <w:bookmarkStart w:id="60" w:name="_Toc20907"/>
      <w:bookmarkStart w:id="61" w:name="_Toc422141920"/>
      <w:r>
        <w:rPr>
          <w:rFonts w:hint="eastAsia" w:ascii="宋体" w:hAnsi="宋体" w:eastAsia="宋体" w:cs="宋体"/>
          <w:b/>
          <w:snapToGrid w:val="0"/>
          <w:sz w:val="24"/>
          <w:szCs w:val="24"/>
          <w:highlight w:val="none"/>
        </w:rPr>
        <w:t>第三节  股份转让</w:t>
      </w:r>
      <w:bookmarkEnd w:id="51"/>
      <w:bookmarkEnd w:id="52"/>
      <w:bookmarkEnd w:id="53"/>
      <w:bookmarkEnd w:id="54"/>
      <w:bookmarkEnd w:id="55"/>
      <w:bookmarkEnd w:id="56"/>
      <w:bookmarkEnd w:id="57"/>
      <w:bookmarkEnd w:id="58"/>
      <w:bookmarkEnd w:id="59"/>
      <w:bookmarkEnd w:id="60"/>
      <w:bookmarkEnd w:id="61"/>
    </w:p>
    <w:p w14:paraId="58B2C3E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公司的股份可以依法转让。</w:t>
      </w:r>
    </w:p>
    <w:p w14:paraId="7DF2649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公司不接受本公司的股票作为质押权的标的。</w:t>
      </w:r>
    </w:p>
    <w:p w14:paraId="29371F8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发起人持有的公司股份，自公司成立之日起1年内不得转让。公司公开发行股份前已发行的股份，自公司股票在证券交易所上市交易之日起1年内不得转让。</w:t>
      </w:r>
    </w:p>
    <w:p w14:paraId="403D21E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公司董事、监事、高级管理人员应当向公司申报所持有的本公司的股份及其变动情况，在任职期间每年转让的股份不得超过其所持有本公司股份总数的25%；所持本公司股份自公司股票上市交易之日起1 年内不得转让。上述人员离职后半年内，不得转让其所持有的本公司股份。</w:t>
      </w:r>
    </w:p>
    <w:p w14:paraId="2EC0BB9B">
      <w:pPr>
        <w:spacing w:line="360" w:lineRule="auto"/>
        <w:ind w:firstLine="480" w:firstLineChars="200"/>
        <w:rPr>
          <w:rFonts w:ascii="宋体" w:hAnsi="宋体" w:cs="宋体"/>
          <w:snapToGrid w:val="0"/>
          <w:sz w:val="24"/>
          <w:szCs w:val="22"/>
          <w:highlight w:val="none"/>
        </w:rPr>
      </w:pPr>
      <w:r>
        <w:rPr>
          <w:rFonts w:hint="eastAsia" w:ascii="宋体" w:hAnsi="宋体" w:cs="宋体"/>
          <w:snapToGrid w:val="0"/>
          <w:sz w:val="24"/>
          <w:szCs w:val="22"/>
          <w:highlight w:val="none"/>
          <w:lang w:bidi="ar"/>
        </w:rPr>
        <w:t>公司董事、监事、高级管理人员在任期届满前离职的，应当在其就任时确定 的任期内和任期届满后六个月内，继续遵守下列限制性规定：</w:t>
      </w:r>
    </w:p>
    <w:p w14:paraId="325D18AE">
      <w:pPr>
        <w:widowControl/>
        <w:spacing w:line="360" w:lineRule="auto"/>
        <w:ind w:firstLine="480" w:firstLineChars="200"/>
        <w:rPr>
          <w:rFonts w:hint="eastAsia" w:ascii="宋体" w:hAnsi="宋体" w:cs="宋体"/>
          <w:snapToGrid w:val="0"/>
          <w:sz w:val="24"/>
          <w:szCs w:val="22"/>
          <w:highlight w:val="none"/>
        </w:rPr>
      </w:pPr>
      <w:r>
        <w:rPr>
          <w:rFonts w:hint="eastAsia" w:ascii="宋体" w:hAnsi="宋体" w:cs="宋体"/>
          <w:snapToGrid w:val="0"/>
          <w:sz w:val="24"/>
          <w:szCs w:val="22"/>
          <w:highlight w:val="none"/>
          <w:lang w:bidi="ar"/>
        </w:rPr>
        <w:t xml:space="preserve">（一）每年转让的股份不得超过其所持有本公司股份总数的百分之二十五； </w:t>
      </w:r>
    </w:p>
    <w:p w14:paraId="77592939">
      <w:pPr>
        <w:widowControl/>
        <w:spacing w:line="360" w:lineRule="auto"/>
        <w:ind w:firstLine="480" w:firstLineChars="200"/>
        <w:rPr>
          <w:rFonts w:hint="eastAsia" w:ascii="宋体" w:hAnsi="宋体" w:cs="宋体"/>
          <w:snapToGrid w:val="0"/>
          <w:sz w:val="24"/>
          <w:szCs w:val="22"/>
          <w:highlight w:val="none"/>
        </w:rPr>
      </w:pPr>
      <w:r>
        <w:rPr>
          <w:rFonts w:hint="eastAsia" w:ascii="宋体" w:hAnsi="宋体" w:cs="宋体"/>
          <w:snapToGrid w:val="0"/>
          <w:sz w:val="24"/>
          <w:szCs w:val="22"/>
          <w:highlight w:val="none"/>
          <w:lang w:bidi="ar"/>
        </w:rPr>
        <w:t xml:space="preserve">（二）离职后半年内，不得转让其所持本公司股份； </w:t>
      </w:r>
    </w:p>
    <w:p w14:paraId="3DDB9561">
      <w:pPr>
        <w:widowControl/>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szCs w:val="22"/>
          <w:highlight w:val="none"/>
          <w:lang w:bidi="ar"/>
        </w:rPr>
        <w:t>（三）《公司法》对董监高股份转让的其他规定。</w:t>
      </w:r>
    </w:p>
    <w:p w14:paraId="30A0B98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公司董事、监事、高级管理人员、持有公司股份5%以上的股东，将其持有的公司股票</w:t>
      </w:r>
      <w:r>
        <w:rPr>
          <w:rFonts w:hint="eastAsia" w:ascii="宋体" w:hAnsi="宋体" w:cs="宋体"/>
          <w:sz w:val="24"/>
          <w:szCs w:val="24"/>
          <w:highlight w:val="none"/>
        </w:rPr>
        <w:t>或者其他具有股权性质的证券</w:t>
      </w:r>
      <w:r>
        <w:rPr>
          <w:rFonts w:hint="eastAsia" w:ascii="宋体" w:hAnsi="宋体" w:cs="宋体"/>
          <w:snapToGrid w:val="0"/>
          <w:sz w:val="24"/>
          <w:highlight w:val="none"/>
        </w:rPr>
        <w:t>在买入后6个月内卖出，或者在卖出后6个月内又买入，由此所得收益归公司所有，公司董事会将收回其所得收益。但是，证券公司因包销购入售后剩余股票而持有5%以上股份的，</w:t>
      </w:r>
      <w:r>
        <w:rPr>
          <w:rFonts w:hint="eastAsia" w:ascii="宋体" w:hAnsi="宋体" w:cs="宋体"/>
          <w:sz w:val="24"/>
          <w:szCs w:val="24"/>
          <w:highlight w:val="none"/>
        </w:rPr>
        <w:t>以及有国务院证券监督管理机构规定的其他情形的，</w:t>
      </w:r>
      <w:r>
        <w:rPr>
          <w:rFonts w:hint="eastAsia" w:ascii="宋体" w:hAnsi="宋体" w:cs="宋体"/>
          <w:snapToGrid w:val="0"/>
          <w:sz w:val="24"/>
          <w:highlight w:val="none"/>
        </w:rPr>
        <w:t>卖出该股票</w:t>
      </w:r>
      <w:r>
        <w:rPr>
          <w:rFonts w:hint="eastAsia" w:ascii="宋体" w:hAnsi="宋体" w:cs="宋体"/>
          <w:sz w:val="24"/>
          <w:szCs w:val="24"/>
          <w:highlight w:val="none"/>
        </w:rPr>
        <w:t>或者其他具有股权性质的证券</w:t>
      </w:r>
      <w:r>
        <w:rPr>
          <w:rFonts w:hint="eastAsia" w:ascii="宋体" w:hAnsi="宋体" w:cs="宋体"/>
          <w:snapToGrid w:val="0"/>
          <w:sz w:val="24"/>
          <w:highlight w:val="none"/>
        </w:rPr>
        <w:t>不受6个月时间限制。</w:t>
      </w:r>
    </w:p>
    <w:p w14:paraId="3A1E970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szCs w:val="24"/>
          <w:highlight w:val="none"/>
        </w:rPr>
        <w:t>前款所称董事、监事、高级管理人员、自然人股东持有的股票或者其他具有股权性质 的证券，包括其配偶、父母、子女持有的及利用他人账户持有的股票或者其他具有股权性质的证券。</w:t>
      </w:r>
    </w:p>
    <w:p w14:paraId="20D68AF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公司董事会不按照前款规定执行的，股东有权要求董事会在30日内执行。公司董事会未在上述期限内执行的，股东有权为了公司的利益以自己的名义直接向人民法院提起诉讼。</w:t>
      </w:r>
    </w:p>
    <w:p w14:paraId="61DE6B4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公司董事会不按照第一款的规定执行的，负有责任的董事依法承担连带责任。</w:t>
      </w:r>
    </w:p>
    <w:p w14:paraId="7F66E24D">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62" w:name="_Toc9042"/>
      <w:bookmarkStart w:id="63" w:name="_Toc325815143"/>
      <w:bookmarkStart w:id="64" w:name="_Toc18688"/>
      <w:bookmarkStart w:id="65" w:name="_Toc248746547"/>
      <w:bookmarkStart w:id="66" w:name="_Toc26712"/>
      <w:bookmarkStart w:id="67" w:name="_Toc21851"/>
      <w:bookmarkStart w:id="68" w:name="_Toc10122"/>
      <w:bookmarkStart w:id="69" w:name="_Toc422141921"/>
      <w:bookmarkStart w:id="70" w:name="_Toc12284"/>
      <w:bookmarkStart w:id="71" w:name="_Toc19183"/>
      <w:bookmarkStart w:id="72" w:name="_Toc203475057"/>
      <w:r>
        <w:rPr>
          <w:rFonts w:hint="eastAsia" w:ascii="宋体" w:hAnsi="宋体" w:eastAsia="宋体" w:cs="宋体"/>
          <w:b/>
          <w:kern w:val="0"/>
          <w:sz w:val="30"/>
          <w:szCs w:val="30"/>
          <w:highlight w:val="none"/>
        </w:rPr>
        <w:t>第四章  股东和股东大会</w:t>
      </w:r>
      <w:bookmarkEnd w:id="62"/>
      <w:bookmarkEnd w:id="63"/>
      <w:bookmarkEnd w:id="64"/>
      <w:bookmarkEnd w:id="65"/>
      <w:bookmarkEnd w:id="66"/>
      <w:bookmarkEnd w:id="67"/>
      <w:bookmarkEnd w:id="68"/>
      <w:bookmarkEnd w:id="69"/>
      <w:bookmarkEnd w:id="70"/>
      <w:bookmarkEnd w:id="71"/>
      <w:bookmarkEnd w:id="72"/>
    </w:p>
    <w:p w14:paraId="2AC7118E">
      <w:pPr>
        <w:pStyle w:val="31"/>
        <w:numPr>
          <w:ilvl w:val="0"/>
          <w:numId w:val="0"/>
        </w:numPr>
        <w:spacing w:before="0" w:after="0" w:line="360" w:lineRule="auto"/>
        <w:ind w:left="-105"/>
        <w:rPr>
          <w:rFonts w:hint="eastAsia" w:ascii="宋体" w:hAnsi="宋体" w:eastAsia="宋体" w:cs="宋体"/>
          <w:b/>
          <w:snapToGrid w:val="0"/>
          <w:sz w:val="24"/>
          <w:szCs w:val="24"/>
          <w:highlight w:val="none"/>
        </w:rPr>
      </w:pPr>
      <w:bookmarkStart w:id="73" w:name="_Toc5272"/>
      <w:bookmarkStart w:id="74" w:name="_Toc416"/>
      <w:bookmarkStart w:id="75" w:name="_Toc22252"/>
      <w:bookmarkStart w:id="76" w:name="_Toc579"/>
      <w:bookmarkStart w:id="77" w:name="_Toc29028"/>
      <w:bookmarkStart w:id="78" w:name="_Toc27561"/>
      <w:bookmarkStart w:id="79" w:name="_Toc1680038367"/>
      <w:bookmarkStart w:id="80" w:name="_Toc422141922"/>
      <w:bookmarkStart w:id="81" w:name="_Toc203475058"/>
      <w:bookmarkStart w:id="82" w:name="_Toc325815144"/>
      <w:bookmarkStart w:id="83" w:name="_Toc12417"/>
      <w:r>
        <w:rPr>
          <w:rFonts w:hint="eastAsia" w:ascii="宋体" w:hAnsi="宋体" w:eastAsia="宋体" w:cs="宋体"/>
          <w:b/>
          <w:snapToGrid w:val="0"/>
          <w:sz w:val="24"/>
          <w:szCs w:val="24"/>
          <w:highlight w:val="none"/>
        </w:rPr>
        <w:t>第一节  股东</w:t>
      </w:r>
      <w:bookmarkEnd w:id="73"/>
      <w:bookmarkEnd w:id="74"/>
      <w:bookmarkEnd w:id="75"/>
      <w:bookmarkEnd w:id="76"/>
      <w:bookmarkEnd w:id="77"/>
      <w:bookmarkEnd w:id="78"/>
      <w:bookmarkEnd w:id="79"/>
      <w:bookmarkEnd w:id="80"/>
      <w:bookmarkEnd w:id="81"/>
      <w:bookmarkEnd w:id="82"/>
      <w:bookmarkEnd w:id="83"/>
    </w:p>
    <w:p w14:paraId="63F2C2A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公司依据</w:t>
      </w:r>
      <w:r>
        <w:rPr>
          <w:rFonts w:hint="eastAsia" w:ascii="宋体" w:hAnsi="宋体" w:cs="宋体"/>
          <w:szCs w:val="21"/>
          <w:highlight w:val="none"/>
        </w:rPr>
        <w:t>证</w:t>
      </w:r>
      <w:r>
        <w:rPr>
          <w:rFonts w:hint="eastAsia" w:ascii="宋体" w:hAnsi="宋体" w:cs="宋体"/>
          <w:snapToGrid w:val="0"/>
          <w:sz w:val="24"/>
          <w:szCs w:val="24"/>
          <w:highlight w:val="none"/>
        </w:rPr>
        <w:t>券登记机构提供的凭证</w:t>
      </w:r>
      <w:r>
        <w:rPr>
          <w:rFonts w:hint="eastAsia" w:ascii="宋体" w:hAnsi="宋体" w:cs="宋体"/>
          <w:snapToGrid w:val="0"/>
          <w:sz w:val="24"/>
          <w:highlight w:val="none"/>
        </w:rPr>
        <w:t>建立股东名册，股东名册是证明股东持有公司股份的充分证据。股东按其所持有股份的种类享有权利，承担义务；持有同一种类股份的股东，享有同等权利，承担同种义务。</w:t>
      </w:r>
    </w:p>
    <w:p w14:paraId="513E6FB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公司召开股东大会、分配股利、清算及从事其他需要确认股东身份的行为时，由董事会或股东大会召集人确定股权登记日，股权登记日登记在册的股东为享有相关权益的股东。</w:t>
      </w:r>
    </w:p>
    <w:p w14:paraId="04482287">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公司股东享有下列权利：</w:t>
      </w:r>
    </w:p>
    <w:p w14:paraId="47C599E6">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napToGrid w:val="0"/>
          <w:sz w:val="24"/>
          <w:highlight w:val="none"/>
        </w:rPr>
        <w:t>（一）依照其所持有的股份份额获得股利和其他形式的利益分配；</w:t>
      </w:r>
    </w:p>
    <w:p w14:paraId="11A6115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（二）依法请求、召集、主持、参加或者委派股东代理人参加股东大会，并行使相应的表决权；</w:t>
      </w:r>
    </w:p>
    <w:p w14:paraId="2017276D">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napToGrid w:val="0"/>
          <w:sz w:val="24"/>
          <w:highlight w:val="none"/>
        </w:rPr>
        <w:t>（三）对公司的经营进行监督，提出建议或者质询；</w:t>
      </w:r>
    </w:p>
    <w:p w14:paraId="5E73A7C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（四）依照法律、行政法规及本章程的规定转让、赠与或质押其所持有的股份；</w:t>
      </w:r>
    </w:p>
    <w:p w14:paraId="520A624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（五）查阅本章程、股东名册、公司债券存根、股东大会会议记录、董事会会议决议、监事会会议决议、财务会计报告；</w:t>
      </w:r>
    </w:p>
    <w:p w14:paraId="414092C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（六）公司终止或者清算时，按其所持有的股份份额参加公司剩余财产的分配；</w:t>
      </w:r>
    </w:p>
    <w:p w14:paraId="475A652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（七）对股东大会作出的公司合并、分立决议持异议的股东，要求公司收购其股份；</w:t>
      </w:r>
    </w:p>
    <w:p w14:paraId="35E406D4">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napToGrid w:val="0"/>
          <w:sz w:val="24"/>
          <w:highlight w:val="none"/>
        </w:rPr>
        <w:t>（八）法律、行政法规、部门规章或本章程规定的其他权利。</w:t>
      </w:r>
    </w:p>
    <w:p w14:paraId="428462F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股东提出查阅前条所述有关信息或者索取资料的，应当向公司提供证明其持有公司股份的种类以及持股数量的书面文件，公司经核实股东身份后按照股东的要求予以提供。</w:t>
      </w:r>
    </w:p>
    <w:p w14:paraId="14AAC95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公司股东大会、董事会决议内容违反法律、行政法规的，股东有权请求人民法院认定无效。</w:t>
      </w:r>
    </w:p>
    <w:p w14:paraId="5103448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股东大会、董事会的会议召集程序、表决方式违反法律、行政法规或者本章程，或者决议内容违反本章程的，股东有权自决议作出之日起60日内，请求人民法院撤销。</w:t>
      </w:r>
    </w:p>
    <w:p w14:paraId="5F2ECB2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14:paraId="2F2A69E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董事会收到前款规定的股东书面请求后拒绝提起诉讼，或者自收到请求之日起30内未提起诉讼，或者情况紧急、不立即提起诉讼将会使公司利益受到难以弥补的损害的，前款规定的股东有权为了公司的利益以自己的名义直接向人民法院提起诉讼。</w:t>
      </w:r>
    </w:p>
    <w:p w14:paraId="3194636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他人侵犯公司合法权益，给公司造成损失的，本条第一款规定的股东可以依照前两款的规定向人民法院提起诉讼。</w:t>
      </w:r>
    </w:p>
    <w:p w14:paraId="7E16D47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董事、高级管理人员违反法律、行政法规或者本章程的规定，损害股东利益的，股东可以向人民法院提起诉讼。</w:t>
      </w:r>
    </w:p>
    <w:p w14:paraId="0D614239">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公司股东承担下列义务：</w:t>
      </w:r>
    </w:p>
    <w:p w14:paraId="79312D3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（一）遵守法律、行政法规和本章程；</w:t>
      </w:r>
    </w:p>
    <w:p w14:paraId="413FBF3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（二）依其所认购的股份和入股方式缴纳股金；</w:t>
      </w:r>
    </w:p>
    <w:p w14:paraId="03A503C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（三）除法律、法规规定的情形外，不得退股；</w:t>
      </w:r>
    </w:p>
    <w:p w14:paraId="3407971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（四）不得滥用股东权利损害公司或者其他股东的利益；不得滥用公司法人独立地位和股东有限责任损害公司债权人的利益；</w:t>
      </w:r>
    </w:p>
    <w:p w14:paraId="343F3C8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公司股东滥用股东权利给公司或者其他股东造成损失的，应当依法承担赔偿责任；</w:t>
      </w:r>
    </w:p>
    <w:p w14:paraId="11857E7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公司股东滥用公司法人独立地位和股东有限责任，逃避债务，严重损害公司债权人利益的，应当对公司债务承担连带责任；</w:t>
      </w:r>
    </w:p>
    <w:p w14:paraId="76AC134A">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napToGrid w:val="0"/>
          <w:sz w:val="24"/>
          <w:highlight w:val="none"/>
        </w:rPr>
        <w:t>（五）法律、行政法规及本章程规定应当承担的其他义务。</w:t>
      </w:r>
    </w:p>
    <w:p w14:paraId="5856C80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持有公司5%以上有表决权股份的股东，将其持有的股份进行质押的，应当自该事实发生当日，向公司作出书面报告。</w:t>
      </w:r>
    </w:p>
    <w:p w14:paraId="21FEDFD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公司的控股股东、实际控制人不得利用其关联关系损害公司利益。违反规定的，给公司造成损失的，应当承担赔偿责任。</w:t>
      </w:r>
    </w:p>
    <w:p w14:paraId="1F5215C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公司控股股东及实际控制人对公司和公司</w:t>
      </w:r>
      <w:r>
        <w:rPr>
          <w:rFonts w:hint="eastAsia" w:ascii="宋体" w:hAnsi="宋体" w:cs="宋体"/>
          <w:snapToGrid w:val="0"/>
          <w:sz w:val="24"/>
          <w:highlight w:val="none"/>
          <w:lang w:val="en-US" w:eastAsia="zh-CN"/>
        </w:rPr>
        <w:t>社会公众股</w:t>
      </w:r>
      <w:r>
        <w:rPr>
          <w:rFonts w:hint="eastAsia" w:ascii="宋体" w:hAnsi="宋体" w:cs="宋体"/>
          <w:snapToGrid w:val="0"/>
          <w:sz w:val="24"/>
          <w:highlight w:val="none"/>
        </w:rPr>
        <w:t>股东负有诚信义务。控股股东应严格依法行使出资人的权利，控股股东不得利用利润分配、资产重组、对外投资、资金占用、借款担保等方式损害公司和</w:t>
      </w:r>
      <w:r>
        <w:rPr>
          <w:rFonts w:hint="eastAsia" w:ascii="宋体" w:hAnsi="宋体" w:cs="宋体"/>
          <w:snapToGrid w:val="0"/>
          <w:sz w:val="24"/>
          <w:highlight w:val="none"/>
          <w:lang w:val="en-US" w:eastAsia="zh-CN"/>
        </w:rPr>
        <w:t>社会公众股</w:t>
      </w:r>
      <w:r>
        <w:rPr>
          <w:rFonts w:hint="eastAsia" w:ascii="宋体" w:hAnsi="宋体" w:cs="宋体"/>
          <w:snapToGrid w:val="0"/>
          <w:sz w:val="24"/>
          <w:highlight w:val="none"/>
        </w:rPr>
        <w:t>股东的合法权益，不得利用其控制地位损害公司和</w:t>
      </w:r>
      <w:r>
        <w:rPr>
          <w:rFonts w:hint="eastAsia" w:ascii="宋体" w:hAnsi="宋体" w:cs="宋体"/>
          <w:snapToGrid w:val="0"/>
          <w:sz w:val="24"/>
          <w:highlight w:val="none"/>
          <w:lang w:val="en-US" w:eastAsia="zh-CN"/>
        </w:rPr>
        <w:t>社会公众股</w:t>
      </w:r>
      <w:r>
        <w:rPr>
          <w:rFonts w:hint="eastAsia" w:ascii="宋体" w:hAnsi="宋体" w:cs="宋体"/>
          <w:snapToGrid w:val="0"/>
          <w:sz w:val="24"/>
          <w:highlight w:val="none"/>
        </w:rPr>
        <w:t>股东的利益。</w:t>
      </w:r>
    </w:p>
    <w:p w14:paraId="01F1800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公司控股股东、实际控制人及其控制的其他企业不得利用关联交易、资产重组、垫付费用、对外投资、担保</w:t>
      </w:r>
      <w:r>
        <w:rPr>
          <w:rFonts w:hint="eastAsia" w:ascii="宋体" w:hAnsi="宋体" w:cs="宋体"/>
          <w:snapToGrid w:val="0"/>
          <w:sz w:val="24"/>
          <w:highlight w:val="none"/>
          <w:lang w:eastAsia="zh-CN"/>
        </w:rPr>
        <w:t>、</w:t>
      </w:r>
      <w:r>
        <w:rPr>
          <w:rFonts w:hint="eastAsia" w:ascii="宋体" w:hAnsi="宋体" w:cs="宋体"/>
          <w:snapToGrid w:val="0"/>
          <w:sz w:val="24"/>
          <w:highlight w:val="none"/>
          <w:lang w:val="en-US" w:eastAsia="zh-CN"/>
        </w:rPr>
        <w:t>利润分配</w:t>
      </w:r>
      <w:r>
        <w:rPr>
          <w:rFonts w:hint="eastAsia" w:ascii="宋体" w:hAnsi="宋体" w:cs="宋体"/>
          <w:snapToGrid w:val="0"/>
          <w:sz w:val="24"/>
          <w:highlight w:val="none"/>
        </w:rPr>
        <w:t>和其他方式直接或者间接侵占公司资金、资产，损害公司及其他股东的利益。违反本章程规定，给公司造成损失的，应当承担赔偿责任。发生公司控股股东侵占公司资产的情况时，公司董事会应立即向人民法院申请司法冻结控股股东股权。凡控股股东不能以现金清偿的，通过变现控股股东股权偿还侵占资产。</w:t>
      </w:r>
    </w:p>
    <w:p w14:paraId="719EE48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公司董事、监事和高级管理人员具有维护公司资产安全的法定义务。当公司发生控股股东或实际控制人侵占公司资产、损害公司及其他股东利益情形时，公司董事会应采取有效措施要求控股股东</w:t>
      </w:r>
      <w:r>
        <w:rPr>
          <w:rFonts w:hint="eastAsia" w:ascii="宋体" w:hAnsi="宋体" w:cs="宋体"/>
          <w:snapToGrid w:val="0"/>
          <w:sz w:val="24"/>
          <w:highlight w:val="none"/>
          <w:lang w:eastAsia="zh-CN"/>
        </w:rPr>
        <w:t>、</w:t>
      </w:r>
      <w:r>
        <w:rPr>
          <w:rFonts w:hint="eastAsia" w:ascii="宋体" w:hAnsi="宋体" w:cs="宋体"/>
          <w:snapToGrid w:val="0"/>
          <w:sz w:val="24"/>
          <w:highlight w:val="none"/>
          <w:lang w:val="en-US" w:eastAsia="zh-CN"/>
        </w:rPr>
        <w:t>实际控制人</w:t>
      </w:r>
      <w:r>
        <w:rPr>
          <w:rFonts w:hint="eastAsia" w:ascii="宋体" w:hAnsi="宋体" w:cs="宋体"/>
          <w:snapToGrid w:val="0"/>
          <w:sz w:val="24"/>
          <w:highlight w:val="none"/>
        </w:rPr>
        <w:t>停止侵害并就该侵害造成的损失承担赔偿责任。</w:t>
      </w:r>
    </w:p>
    <w:p w14:paraId="2C76DBA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监事、高级管理人员违反本章程规定，协助、纵容控股股东及其他关联方侵占公司财产，损害公司利益时，公司将视情节轻重，对直接责任人处以警告、降职、免职、开除等处分；对负有严重责任的董事、监事则可提交股东大会罢免。</w:t>
      </w:r>
    </w:p>
    <w:p w14:paraId="21A2DD14">
      <w:pPr>
        <w:pStyle w:val="31"/>
        <w:numPr>
          <w:ilvl w:val="0"/>
          <w:numId w:val="0"/>
        </w:numPr>
        <w:spacing w:before="0" w:after="0" w:line="360" w:lineRule="auto"/>
        <w:ind w:left="-2" w:leftChars="-1"/>
        <w:rPr>
          <w:rFonts w:hint="eastAsia" w:ascii="宋体" w:hAnsi="宋体" w:eastAsia="宋体" w:cs="宋体"/>
          <w:b/>
          <w:snapToGrid w:val="0"/>
          <w:sz w:val="24"/>
          <w:szCs w:val="24"/>
          <w:highlight w:val="none"/>
        </w:rPr>
      </w:pPr>
      <w:bookmarkStart w:id="84" w:name="_Toc21525"/>
      <w:bookmarkStart w:id="85" w:name="_Toc3994"/>
      <w:bookmarkStart w:id="86" w:name="_Toc19326"/>
      <w:bookmarkStart w:id="87" w:name="_Toc3125"/>
      <w:bookmarkStart w:id="88" w:name="_Toc422141923"/>
      <w:bookmarkStart w:id="89" w:name="_Toc325815145"/>
      <w:bookmarkStart w:id="90" w:name="_Toc25877"/>
      <w:bookmarkStart w:id="91" w:name="_Toc203475059"/>
      <w:bookmarkStart w:id="92" w:name="_Toc1289843413"/>
      <w:bookmarkStart w:id="93" w:name="_Toc32586"/>
      <w:bookmarkStart w:id="94" w:name="_Toc15153"/>
      <w:r>
        <w:rPr>
          <w:rFonts w:hint="eastAsia" w:ascii="宋体" w:hAnsi="宋体" w:eastAsia="宋体" w:cs="宋体"/>
          <w:b/>
          <w:snapToGrid w:val="0"/>
          <w:sz w:val="24"/>
          <w:szCs w:val="24"/>
          <w:highlight w:val="none"/>
        </w:rPr>
        <w:t>第二节  股东大会的一般规定</w:t>
      </w:r>
      <w:bookmarkEnd w:id="84"/>
      <w:bookmarkEnd w:id="85"/>
      <w:bookmarkEnd w:id="86"/>
      <w:bookmarkEnd w:id="87"/>
      <w:bookmarkEnd w:id="88"/>
      <w:bookmarkEnd w:id="89"/>
      <w:bookmarkEnd w:id="90"/>
      <w:bookmarkEnd w:id="91"/>
      <w:bookmarkEnd w:id="92"/>
      <w:bookmarkEnd w:id="93"/>
      <w:bookmarkEnd w:id="94"/>
    </w:p>
    <w:p w14:paraId="4D9176DA">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股东大会是公司的权力机构，依法行使下列职权：</w:t>
      </w:r>
    </w:p>
    <w:p w14:paraId="37DF8F28">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napToGrid w:val="0"/>
          <w:sz w:val="24"/>
          <w:highlight w:val="none"/>
        </w:rPr>
        <w:t>（一）决定公司的经营方针和投资计划；</w:t>
      </w:r>
    </w:p>
    <w:p w14:paraId="3B15586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（二）选举和更换非由职工代表担任的董事、监事，决定有关董事、监事的报酬事项；</w:t>
      </w:r>
    </w:p>
    <w:p w14:paraId="33C5DC6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（三）审议批准董事会的报告；</w:t>
      </w:r>
    </w:p>
    <w:p w14:paraId="7B8CEE8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（四）审议批准监事会的报告；</w:t>
      </w:r>
    </w:p>
    <w:p w14:paraId="14DEEA4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（五）审议批准公司的年度财务预算方案、决算方案；</w:t>
      </w:r>
    </w:p>
    <w:p w14:paraId="16D76BD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（六）审议批准公司的利润分配方案和弥补亏损方案；</w:t>
      </w:r>
    </w:p>
    <w:p w14:paraId="6A36F94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（七）对公司增加或者减少注册资本作出决议；</w:t>
      </w:r>
    </w:p>
    <w:p w14:paraId="2906901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（八）对发行公司债券作出决议；</w:t>
      </w:r>
    </w:p>
    <w:p w14:paraId="5826F8B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（九）对公司合并、分立、解散、清算或者变更公司形式作出决议；</w:t>
      </w:r>
    </w:p>
    <w:p w14:paraId="0E1D603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（十）修改公司章程；</w:t>
      </w:r>
    </w:p>
    <w:p w14:paraId="1823886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（十一）对公司聘用、解聘会计师事务所作出决议；</w:t>
      </w:r>
    </w:p>
    <w:p w14:paraId="2995914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（十二）审议批准符合第四十三条规定条件的担保事项；</w:t>
      </w:r>
    </w:p>
    <w:p w14:paraId="1288087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（十三）审议批准符合第四十四条规定条件的关联交易事项；</w:t>
      </w:r>
    </w:p>
    <w:p w14:paraId="3457A84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（十四）审议公司在1年内购买、出售重大资产超过公司最近一期经审计总资产30%的事项；</w:t>
      </w:r>
    </w:p>
    <w:p w14:paraId="6987B19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（十五）审议公司发生的交易（公司受赠现金资产除外）达到下列标准之一的事项：</w:t>
      </w:r>
    </w:p>
    <w:p w14:paraId="4DA65D1F">
      <w:pPr>
        <w:spacing w:line="360" w:lineRule="auto"/>
        <w:ind w:firstLine="480" w:firstLineChars="200"/>
        <w:rPr>
          <w:rFonts w:hint="eastAsia" w:ascii="宋体" w:hAnsi="宋体" w:cs="宋体"/>
          <w:i/>
          <w:iCs/>
          <w:snapToGrid w:val="0"/>
          <w:sz w:val="24"/>
          <w:highlight w:val="none"/>
        </w:rPr>
      </w:pPr>
      <w:r>
        <w:rPr>
          <w:rFonts w:hint="eastAsia" w:ascii="宋体" w:hAnsi="宋体" w:cs="宋体"/>
          <w:snapToGrid w:val="0"/>
          <w:sz w:val="24"/>
          <w:highlight w:val="none"/>
        </w:rPr>
        <w:t>1、</w:t>
      </w:r>
      <w:r>
        <w:rPr>
          <w:rFonts w:hint="eastAsia" w:ascii="宋体" w:hAnsi="宋体" w:cs="宋体"/>
          <w:sz w:val="24"/>
          <w:highlight w:val="none"/>
        </w:rPr>
        <w:t>交易涉及的资产总额占公司最近一期经审计总资产的50%以上，该交易涉及的资产总额同时存在账面值和评估值的，以高者为准；</w:t>
      </w:r>
    </w:p>
    <w:p w14:paraId="35A9801A">
      <w:pPr>
        <w:spacing w:line="360" w:lineRule="auto"/>
        <w:ind w:firstLine="480" w:firstLineChars="200"/>
        <w:rPr>
          <w:rFonts w:hint="eastAsia" w:ascii="宋体" w:hAnsi="宋体" w:cs="宋体"/>
          <w:i/>
          <w:iCs/>
          <w:snapToGrid w:val="0"/>
          <w:sz w:val="24"/>
          <w:highlight w:val="none"/>
        </w:rPr>
      </w:pPr>
      <w:r>
        <w:rPr>
          <w:rFonts w:hint="eastAsia" w:ascii="宋体" w:hAnsi="宋体" w:cs="宋体"/>
          <w:snapToGrid w:val="0"/>
          <w:sz w:val="24"/>
          <w:highlight w:val="none"/>
        </w:rPr>
        <w:t xml:space="preserve">2、交易标的（如股权）在最近一个会计年度相关的营业收入占公司最近一个会计年度经审计营业收入的50%以上，且绝对金额超过5,000万元； </w:t>
      </w:r>
    </w:p>
    <w:p w14:paraId="48DC396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3、交易标的（如股权）在最近一个会计年度相关的净利润占公司最近一个会计年度经审计净利润的50%以上，且绝对金额超过500万元；</w:t>
      </w:r>
    </w:p>
    <w:p w14:paraId="73ED130D">
      <w:pPr>
        <w:spacing w:line="360" w:lineRule="auto"/>
        <w:ind w:firstLine="480" w:firstLineChars="200"/>
        <w:rPr>
          <w:rFonts w:hint="eastAsia" w:ascii="宋体" w:hAnsi="宋体" w:cs="宋体"/>
          <w:i/>
          <w:iCs/>
          <w:snapToGrid w:val="0"/>
          <w:sz w:val="24"/>
          <w:highlight w:val="none"/>
        </w:rPr>
      </w:pPr>
      <w:r>
        <w:rPr>
          <w:rFonts w:hint="eastAsia" w:ascii="宋体" w:hAnsi="宋体" w:cs="宋体"/>
          <w:snapToGrid w:val="0"/>
          <w:sz w:val="24"/>
          <w:highlight w:val="none"/>
        </w:rPr>
        <w:t>4、交易的成交金额（含承担债务和费用）占公司最近一期经审计净资产的50%以上，且绝对金额超过5,000万元；</w:t>
      </w:r>
    </w:p>
    <w:p w14:paraId="4CA1A9B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5、交易产生的利润占公司最近一个会计年度经审计净利润的50%以上，且绝对金额超过500万元；</w:t>
      </w:r>
    </w:p>
    <w:p w14:paraId="3852942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上述指标计算中涉及的数据如为负值，取其绝对值计算；</w:t>
      </w:r>
    </w:p>
    <w:p w14:paraId="72169BF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（十六）审议批准变更募集资金用途事项；</w:t>
      </w:r>
    </w:p>
    <w:p w14:paraId="083D5D6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（十七）审议股权激励计划和员工持股计划；</w:t>
      </w:r>
    </w:p>
    <w:p w14:paraId="671684A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（十八）审议法律、行政法规、部门规章或本章程规定应当由股东大会决定的其他事项。</w:t>
      </w:r>
    </w:p>
    <w:p w14:paraId="2A8A331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上述股东大会的职权不得通过授权的形式由董事会或其他机构和个人代为行使。</w:t>
      </w:r>
    </w:p>
    <w:p w14:paraId="3DFB1A1E">
      <w:pPr>
        <w:numPr>
          <w:ilvl w:val="0"/>
          <w:numId w:val="7"/>
        </w:numPr>
        <w:spacing w:line="360" w:lineRule="auto"/>
        <w:ind w:left="0"/>
        <w:outlineLvl w:val="2"/>
        <w:rPr>
          <w:rFonts w:hint="eastAsia" w:ascii="宋体" w:hAnsi="宋体" w:cs="宋体"/>
          <w:snapToGrid w:val="0"/>
          <w:sz w:val="24"/>
          <w:highlight w:val="none"/>
        </w:rPr>
      </w:pPr>
      <w:r>
        <w:rPr>
          <w:rFonts w:hint="eastAsia" w:ascii="宋体" w:hAnsi="宋体" w:cs="宋体"/>
          <w:snapToGrid w:val="0"/>
          <w:sz w:val="24"/>
          <w:highlight w:val="none"/>
        </w:rPr>
        <w:t>公司下列对外担保行为，须经股东大会审议通过。</w:t>
      </w:r>
    </w:p>
    <w:p w14:paraId="2AC43C0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（一）本公司及本公司控股子公司的对外担保总额，超过公司最近一期经审计净资产的50%以后提供的任何担保；</w:t>
      </w:r>
    </w:p>
    <w:p w14:paraId="07D6FE8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（二）公司的对外担保总额，超过最近一期经审计总资产的30%以后提供的任何担保；</w:t>
      </w:r>
    </w:p>
    <w:p w14:paraId="017E096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（三）为资产负债率超过70%的担保对象提供的担保；</w:t>
      </w:r>
    </w:p>
    <w:p w14:paraId="7BD45CA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（四）单笔担保额超过最近一期经审计净资产10%的担保；</w:t>
      </w:r>
    </w:p>
    <w:p w14:paraId="05A9C0C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（五）连续12个月内担保金额超过公司最近一期经审计总资产的30%；</w:t>
      </w:r>
    </w:p>
    <w:p w14:paraId="2281E5C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（六）连续12个月内担保金额超过公司最近一期经审计净资产的50%，且绝对金额超过5,000万元；</w:t>
      </w:r>
    </w:p>
    <w:p w14:paraId="5F4C701F">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napToGrid w:val="0"/>
          <w:sz w:val="24"/>
          <w:highlight w:val="none"/>
        </w:rPr>
        <w:t>（七）对股东、实际控制人及关联人提供担保；</w:t>
      </w:r>
    </w:p>
    <w:p w14:paraId="3BA763D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（八）</w:t>
      </w:r>
      <w:r>
        <w:rPr>
          <w:rFonts w:hint="eastAsia" w:ascii="宋体" w:hAnsi="宋体" w:cs="宋体"/>
          <w:snapToGrid w:val="0"/>
          <w:sz w:val="24"/>
          <w:highlight w:val="none"/>
          <w:lang w:val="en-US" w:eastAsia="zh-CN"/>
        </w:rPr>
        <w:t>法律、行政法规、部门规章、</w:t>
      </w:r>
      <w:r>
        <w:rPr>
          <w:rFonts w:hint="eastAsia" w:ascii="宋体" w:hAnsi="宋体" w:cs="宋体"/>
          <w:snapToGrid w:val="0"/>
          <w:sz w:val="24"/>
          <w:highlight w:val="none"/>
        </w:rPr>
        <w:t>深圳证券交易所或本章程规定的</w:t>
      </w:r>
      <w:r>
        <w:rPr>
          <w:rFonts w:hint="eastAsia" w:ascii="宋体" w:hAnsi="宋体" w:cs="宋体"/>
          <w:snapToGrid w:val="0"/>
          <w:sz w:val="24"/>
          <w:highlight w:val="none"/>
          <w:lang w:val="en-US" w:eastAsia="zh-CN"/>
        </w:rPr>
        <w:t>应当由股东大会决定的</w:t>
      </w:r>
      <w:r>
        <w:rPr>
          <w:rFonts w:hint="eastAsia" w:ascii="宋体" w:hAnsi="宋体" w:cs="宋体"/>
          <w:snapToGrid w:val="0"/>
          <w:sz w:val="24"/>
          <w:highlight w:val="none"/>
        </w:rPr>
        <w:t>其他担保情形。</w:t>
      </w:r>
    </w:p>
    <w:p w14:paraId="29541A5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董事会审议对外担保事项时，应当经出席董事会会议的2/3以上董事审议同意。股东大会审议前款第（五）项担保事项时，应经出席会议的股东所持表决权的2/3以上通过。</w:t>
      </w:r>
    </w:p>
    <w:p w14:paraId="5148B07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股东大会在审议为股东、实际控制人及其关联人提供的担保议案时，该股东或受该实际控制人支配的股东，不得参与该项表决，该项表决须经出席股东大会的其他股东所持表决权的半数以上通过。</w:t>
      </w:r>
    </w:p>
    <w:p w14:paraId="2FF324EE">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公司下列关联交易事项，须经股东大会审议通过</w:t>
      </w:r>
    </w:p>
    <w:p w14:paraId="4C9C0755">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一）公司拟与其关联方发生的单项交易（公司获赠现金资产和提供担保除外）金额或者连续12个月内就同一关联方或同一标的的累计交易（公司获赠现金资产和提供担保除外）金额超过3,000万元以上且占公司最近一期经审计净资产绝对值5%以上的关联交易；</w:t>
      </w:r>
    </w:p>
    <w:p w14:paraId="6F2804DD">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（二）公司与公司董事、监事、高级管理人员及其配偶发生关联交易；</w:t>
      </w:r>
    </w:p>
    <w:p w14:paraId="7860377B">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（三）公司为关联人提供担保的，不论数额大小，均应当在董事会审议后提交股东大会审议。</w:t>
      </w:r>
    </w:p>
    <w:p w14:paraId="1C823484">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股东大会审议本条第（一）项关联交易时，应当聘请具有从事证券、期货相关业务资格的中介机构，对交易标的进行评估或审计，并将该交易提交股东大会审议。公司与日常经营相关的关联交易所涉及的交易标的，可以不进行审计或者评估。</w:t>
      </w:r>
    </w:p>
    <w:p w14:paraId="72B0EBF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股东大会分为年度股东大会和临时股东大会。年度股东大会每年召开一次，应当于上一会计年度结束后的6个月内举行。</w:t>
      </w:r>
    </w:p>
    <w:p w14:paraId="377262D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有下列情形之一的，公司在事实发生之日起2个月以内召开临时股东大会：</w:t>
      </w:r>
    </w:p>
    <w:p w14:paraId="63E668D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（一）董事人数不足《公司法》规定人数或本章程所定人数的2/3时；</w:t>
      </w:r>
    </w:p>
    <w:p w14:paraId="7DE3AE5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（二）公司未弥补的亏损达实收股本总额1/3时；</w:t>
      </w:r>
    </w:p>
    <w:p w14:paraId="5692947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（三）单独或者合计持有公司10%以上股份的股东请求时；</w:t>
      </w:r>
    </w:p>
    <w:p w14:paraId="41420B1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（四）董事会认为必要时；</w:t>
      </w:r>
    </w:p>
    <w:p w14:paraId="2754667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（五）监事会提议召开时；</w:t>
      </w:r>
    </w:p>
    <w:p w14:paraId="136E58B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（六）法律、行政法规、部门规章或本章程规定的其他情形。</w:t>
      </w:r>
    </w:p>
    <w:p w14:paraId="32C9375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公司召开股东大会的地点为：公司住所地或会议通知指定的地点。</w:t>
      </w:r>
      <w:bookmarkStart w:id="95" w:name="_Toc203475060"/>
      <w:bookmarkStart w:id="96" w:name="_Toc22490"/>
      <w:bookmarkStart w:id="97" w:name="_Toc422141924"/>
    </w:p>
    <w:p w14:paraId="2FB6E5AD">
      <w:pPr>
        <w:spacing w:line="360" w:lineRule="auto"/>
        <w:ind w:firstLine="518" w:firstLineChars="216"/>
        <w:rPr>
          <w:rFonts w:ascii="宋体" w:hAnsi="宋体" w:cs="宋体"/>
          <w:snapToGrid w:val="0"/>
          <w:sz w:val="24"/>
          <w:szCs w:val="24"/>
          <w:highlight w:val="none"/>
        </w:rPr>
      </w:pPr>
      <w:r>
        <w:rPr>
          <w:rFonts w:hint="eastAsia" w:ascii="宋体" w:hAnsi="宋体" w:cs="宋体"/>
          <w:snapToGrid w:val="0"/>
          <w:sz w:val="24"/>
          <w:szCs w:val="24"/>
          <w:highlight w:val="none"/>
        </w:rPr>
        <w:t>股东大会将设置会场，以现场会议与网络投票相结合的方式召开。现场会议时间、地点的选择应当便于股东参加。股东大会通知发出后，无正当理由，股东大会现场会议召开地点不得变更。确需变更的，召集人应当于现场会议召开日两个交易日前发布通知并说明具体原因。</w:t>
      </w:r>
    </w:p>
    <w:p w14:paraId="1C37AFFB">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公司还将按照有关规定，通过深圳证券交易所交易系统和深圳信息有限公司上市公司股东大会网络系统向公司股东提供网络形式的投票平台，为股东参加股东大会提供便利，并将按网络投票系统服务机构的规定及其他有关规定进行身份认证。股东通过上述方式参加股东大会的，视为出席。</w:t>
      </w:r>
    </w:p>
    <w:p w14:paraId="62BF08E9">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股东大会审议下列事项之一的，公司应当安排通过网络投票系统等方式为中小投资者参加股东大会提供便利：</w:t>
      </w:r>
    </w:p>
    <w:p w14:paraId="47430CCB">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（一）证券发行；</w:t>
      </w:r>
    </w:p>
    <w:p w14:paraId="628E8F53">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（二）重大资产重组；</w:t>
      </w:r>
    </w:p>
    <w:p w14:paraId="25B3FF31">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（三）股权激励；</w:t>
      </w:r>
    </w:p>
    <w:p w14:paraId="38F43B6A">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（四）股份回购；</w:t>
      </w:r>
    </w:p>
    <w:p w14:paraId="3538A212">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（五）根据《深圳证券交易所股票上市规则》规定应当提交股东大会审议的关联交易（不含日常关联交易）和对外担保（不含对合并报表范围内的子公司的担保）；</w:t>
      </w:r>
    </w:p>
    <w:p w14:paraId="0645EC82">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（六）股东以其持有的公司股份偿还其所欠该公司的债务；</w:t>
      </w:r>
    </w:p>
    <w:p w14:paraId="0D1E2EBD">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（七）对公司有重大影响的附属企业到境外上市；</w:t>
      </w:r>
    </w:p>
    <w:p w14:paraId="4F1AC37E">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（八）根据有关规定应当提交股东大会审议的自主会计政策变更、会计估计变更；</w:t>
      </w:r>
    </w:p>
    <w:p w14:paraId="30927361">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（九）拟以超过募集资金净额10%的闲置募集资金补充流动资金；</w:t>
      </w:r>
    </w:p>
    <w:p w14:paraId="6E1F976B">
      <w:pPr>
        <w:spacing w:line="360" w:lineRule="auto"/>
        <w:ind w:firstLine="518" w:firstLineChars="216"/>
        <w:rPr>
          <w:rFonts w:hint="eastAsia" w:ascii="宋体" w:hAnsi="宋体" w:cs="宋体"/>
          <w:sz w:val="24"/>
          <w:szCs w:val="24"/>
          <w:highlight w:val="none"/>
        </w:rPr>
      </w:pPr>
      <w:r>
        <w:rPr>
          <w:rFonts w:hint="eastAsia" w:ascii="宋体" w:hAnsi="宋体" w:cs="宋体"/>
          <w:sz w:val="24"/>
          <w:szCs w:val="24"/>
          <w:highlight w:val="none"/>
        </w:rPr>
        <w:t>（十）对社会公众股东利益有重大影响的其他事项；</w:t>
      </w:r>
    </w:p>
    <w:p w14:paraId="369146A4">
      <w:pPr>
        <w:spacing w:line="360" w:lineRule="auto"/>
        <w:ind w:firstLine="518" w:firstLineChars="216"/>
        <w:rPr>
          <w:rFonts w:hint="eastAsia" w:ascii="宋体" w:hAnsi="宋体" w:cs="宋体"/>
          <w:snapToGrid w:val="0"/>
          <w:sz w:val="24"/>
          <w:highlight w:val="none"/>
        </w:rPr>
      </w:pPr>
      <w:r>
        <w:rPr>
          <w:rFonts w:hint="eastAsia" w:ascii="宋体" w:hAnsi="宋体" w:cs="宋体"/>
          <w:sz w:val="24"/>
          <w:szCs w:val="24"/>
          <w:highlight w:val="none"/>
        </w:rPr>
        <w:t>（十一）中国证监会、深圳证券交易所要求采取网络投票等方式的其他事项</w:t>
      </w:r>
      <w:r>
        <w:rPr>
          <w:rFonts w:hint="eastAsia" w:ascii="宋体" w:hAnsi="宋体" w:cs="宋体"/>
          <w:snapToGrid w:val="0"/>
          <w:sz w:val="24"/>
          <w:highlight w:val="none"/>
        </w:rPr>
        <w:t>。</w:t>
      </w:r>
    </w:p>
    <w:p w14:paraId="15E54241">
      <w:pPr>
        <w:numPr>
          <w:ilvl w:val="0"/>
          <w:numId w:val="7"/>
        </w:numPr>
        <w:spacing w:line="360" w:lineRule="auto"/>
        <w:rPr>
          <w:rFonts w:ascii="宋体" w:hAnsi="宋体" w:cs="宋体"/>
          <w:snapToGrid w:val="0"/>
          <w:sz w:val="24"/>
          <w:highlight w:val="none"/>
        </w:rPr>
      </w:pPr>
      <w:r>
        <w:rPr>
          <w:rFonts w:hint="eastAsia" w:ascii="宋体" w:hAnsi="宋体" w:cs="宋体"/>
          <w:snapToGrid w:val="0"/>
          <w:sz w:val="24"/>
          <w:highlight w:val="none"/>
        </w:rPr>
        <w:t xml:space="preserve"> 公司召开股东大会时应当聘请律师对以下问题出具法律意见并公告：</w:t>
      </w:r>
    </w:p>
    <w:p w14:paraId="566D4F82">
      <w:pPr>
        <w:numPr>
          <w:ilvl w:val="0"/>
          <w:numId w:val="0"/>
        </w:numPr>
        <w:spacing w:line="360" w:lineRule="auto"/>
        <w:ind w:left="0" w:firstLine="518" w:firstLineChars="216"/>
        <w:rPr>
          <w:rFonts w:hint="eastAsia" w:ascii="宋体" w:hAnsi="宋体" w:eastAsia="宋体" w:cs="宋体"/>
          <w:sz w:val="24"/>
          <w:szCs w:val="24"/>
          <w:highlight w:val="none"/>
        </w:rPr>
      </w:pPr>
      <w:r>
        <w:rPr>
          <w:rFonts w:hint="eastAsia" w:ascii="宋体" w:hAnsi="宋体" w:eastAsia="宋体" w:cs="宋体"/>
          <w:sz w:val="24"/>
          <w:szCs w:val="24"/>
          <w:highlight w:val="none"/>
        </w:rPr>
        <w:t>（一）会议的召集、召开程序是否符合法律、行政法规、本章程；</w:t>
      </w:r>
    </w:p>
    <w:p w14:paraId="3EBB3EFD">
      <w:pPr>
        <w:numPr>
          <w:ilvl w:val="0"/>
          <w:numId w:val="0"/>
        </w:numPr>
        <w:spacing w:line="360" w:lineRule="auto"/>
        <w:ind w:left="0" w:firstLine="518" w:firstLineChars="216"/>
        <w:rPr>
          <w:rFonts w:hint="eastAsia" w:ascii="宋体" w:hAnsi="宋体" w:eastAsia="宋体" w:cs="宋体"/>
          <w:sz w:val="24"/>
          <w:szCs w:val="24"/>
          <w:highlight w:val="none"/>
        </w:rPr>
      </w:pPr>
      <w:r>
        <w:rPr>
          <w:rFonts w:hint="eastAsia" w:ascii="宋体" w:hAnsi="宋体" w:eastAsia="宋体" w:cs="宋体"/>
          <w:sz w:val="24"/>
          <w:szCs w:val="24"/>
          <w:highlight w:val="none"/>
        </w:rPr>
        <w:t>（二）出席会议人员的资格、召集人资格是否合法有效；</w:t>
      </w:r>
    </w:p>
    <w:p w14:paraId="5B6F0EC3">
      <w:pPr>
        <w:numPr>
          <w:ilvl w:val="0"/>
          <w:numId w:val="0"/>
        </w:numPr>
        <w:spacing w:line="360" w:lineRule="auto"/>
        <w:ind w:left="0" w:firstLine="518" w:firstLineChars="216"/>
        <w:rPr>
          <w:rFonts w:hint="eastAsia" w:ascii="宋体" w:hAnsi="宋体" w:eastAsia="宋体" w:cs="宋体"/>
          <w:sz w:val="24"/>
          <w:szCs w:val="24"/>
          <w:highlight w:val="none"/>
        </w:rPr>
      </w:pPr>
      <w:r>
        <w:rPr>
          <w:rFonts w:hint="eastAsia" w:ascii="宋体" w:hAnsi="宋体" w:eastAsia="宋体" w:cs="宋体"/>
          <w:sz w:val="24"/>
          <w:szCs w:val="24"/>
          <w:highlight w:val="none"/>
        </w:rPr>
        <w:t>（三）会议的表决程序、表决结果是否合法有效；</w:t>
      </w:r>
    </w:p>
    <w:p w14:paraId="65306154">
      <w:pPr>
        <w:numPr>
          <w:ilvl w:val="0"/>
          <w:numId w:val="0"/>
        </w:numPr>
        <w:spacing w:line="360" w:lineRule="auto"/>
        <w:ind w:left="0" w:firstLine="518" w:firstLineChars="216"/>
        <w:rPr>
          <w:rFonts w:ascii="宋体" w:hAnsi="宋体" w:cs="宋体"/>
          <w:snapToGrid w:val="0"/>
          <w:sz w:val="24"/>
          <w:highlight w:val="none"/>
        </w:rPr>
      </w:pPr>
      <w:r>
        <w:rPr>
          <w:rFonts w:hint="eastAsia" w:ascii="宋体" w:hAnsi="宋体" w:eastAsia="宋体" w:cs="宋体"/>
          <w:sz w:val="24"/>
          <w:szCs w:val="24"/>
          <w:highlight w:val="none"/>
        </w:rPr>
        <w:t>（四）应本公司要求对其他有关问题出具的法律意见。</w:t>
      </w:r>
    </w:p>
    <w:p w14:paraId="5C0F961A">
      <w:pPr>
        <w:pStyle w:val="31"/>
        <w:numPr>
          <w:ilvl w:val="0"/>
          <w:numId w:val="0"/>
        </w:numPr>
        <w:spacing w:before="0" w:after="0" w:line="360" w:lineRule="auto"/>
        <w:rPr>
          <w:rFonts w:hint="eastAsia" w:ascii="宋体" w:hAnsi="宋体" w:eastAsia="宋体" w:cs="宋体"/>
          <w:b/>
          <w:snapToGrid w:val="0"/>
          <w:sz w:val="24"/>
          <w:szCs w:val="24"/>
          <w:highlight w:val="none"/>
        </w:rPr>
      </w:pPr>
      <w:bookmarkStart w:id="98" w:name="_Toc31106"/>
      <w:bookmarkStart w:id="99" w:name="_Toc325815146"/>
      <w:bookmarkStart w:id="100" w:name="_Toc23256"/>
      <w:bookmarkStart w:id="101" w:name="_Toc21350"/>
      <w:bookmarkStart w:id="102" w:name="_Toc31414"/>
      <w:bookmarkStart w:id="103" w:name="_Toc1698309473"/>
      <w:bookmarkStart w:id="104" w:name="_Toc5430"/>
      <w:bookmarkStart w:id="105" w:name="_Toc2883"/>
      <w:r>
        <w:rPr>
          <w:rFonts w:hint="eastAsia" w:ascii="宋体" w:hAnsi="宋体" w:eastAsia="宋体" w:cs="宋体"/>
          <w:b/>
          <w:snapToGrid w:val="0"/>
          <w:sz w:val="24"/>
          <w:szCs w:val="24"/>
          <w:highlight w:val="none"/>
        </w:rPr>
        <w:t>第三节  股东大会的召集</w:t>
      </w:r>
      <w:bookmarkEnd w:id="95"/>
      <w:bookmarkEnd w:id="96"/>
      <w:bookmarkEnd w:id="97"/>
      <w:bookmarkEnd w:id="98"/>
      <w:bookmarkEnd w:id="99"/>
      <w:bookmarkEnd w:id="100"/>
      <w:bookmarkEnd w:id="101"/>
      <w:bookmarkEnd w:id="102"/>
      <w:bookmarkEnd w:id="103"/>
      <w:bookmarkEnd w:id="104"/>
      <w:bookmarkEnd w:id="105"/>
    </w:p>
    <w:p w14:paraId="6CD3C6B0">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独立董事有权向董事会提议召开临时股东大会。对独立董事要求召开临时股东大会的提议，董事会应当根据法律、行政法规和本章程的规定，在收到提议后10日内提出同意或不同意召开临时股东大会的书面反馈意见。</w:t>
      </w:r>
    </w:p>
    <w:p w14:paraId="01A1FCB1">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董事会同意召开临时股东大会的，将在作出董事会决议后的5日内发出召开股东大会的通知；董事会不同意召开临时股东大会的，将说明理由并公告。</w:t>
      </w:r>
    </w:p>
    <w:p w14:paraId="708C35F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监事会有权向董事会提议召开临时股东大会，并应当以书面形式向董事会提出。董事会应当根据法律、行政法规和本章程的规定，在收到提案后10日内提出同意或不同意召开临时股东大会的书面反馈意见。</w:t>
      </w:r>
    </w:p>
    <w:p w14:paraId="3A9F26D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董事会同意召开临时股东大会的，将在作出董事会决议后的5日内发出召开股东大会的通知，通知中对原提议的变更，应征得监事会的同意。</w:t>
      </w:r>
    </w:p>
    <w:p w14:paraId="62C0625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董事会不同意召开临时股东大会，或者在收到提案后10日内未作出反馈的，视为董事会不能履行或者不履行召集股东大会会议职责，监事会可以自行召集和主持。</w:t>
      </w:r>
    </w:p>
    <w:p w14:paraId="41679F9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14:paraId="6A8A229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董事会同意召开临时股东大会的，应当在作出董事会决议后的5日内发出召开股东大会的通知，通知中对原请求的变更，应当征得相关股东的同意。</w:t>
      </w:r>
    </w:p>
    <w:p w14:paraId="5804A0D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董事会不同意召开临时股东大会，或者在收到请求后10日内未作出反馈的，单独或者合计持有公司10%以上股份的股东有权向监事会提议召开临时股东大会，并应当以书面形式向监事会提出请求。</w:t>
      </w:r>
    </w:p>
    <w:p w14:paraId="03CCF3D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监事会同意召开临时股东大会的，应在收到请求5日内发出召开股东大会的通知，通知中对原</w:t>
      </w:r>
      <w:r>
        <w:rPr>
          <w:rFonts w:ascii="宋体" w:hAnsi="宋体" w:cs="宋体"/>
          <w:snapToGrid w:val="0"/>
          <w:sz w:val="24"/>
          <w:highlight w:val="none"/>
        </w:rPr>
        <w:t>提案</w:t>
      </w:r>
      <w:r>
        <w:rPr>
          <w:rFonts w:hint="eastAsia" w:ascii="宋体" w:hAnsi="宋体" w:cs="宋体"/>
          <w:snapToGrid w:val="0"/>
          <w:sz w:val="24"/>
          <w:highlight w:val="none"/>
        </w:rPr>
        <w:t>的变更，应当征得相关股东的同意。</w:t>
      </w:r>
    </w:p>
    <w:p w14:paraId="450AE24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监事会未在规定期限内发出股东大会通知的，视为监事会不召集和主持股东大会，连续90日以上单独或者合计持有公司10%以上股份的股东可以自行召集和主持。</w:t>
      </w:r>
    </w:p>
    <w:p w14:paraId="5D6D3A4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监事会或股东决定自行召集股东大会的，须书面通知董事会，同时向证券交易所备案。</w:t>
      </w:r>
    </w:p>
    <w:p w14:paraId="69A19B2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在股东大会作出决议公告前，召集股东持股比例不得低于10%。</w:t>
      </w:r>
    </w:p>
    <w:p w14:paraId="63081BD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监事会或召集股东应在发出股东大会通知及股东大会决议公告时，向证券交易所提交有关证明材料。</w:t>
      </w:r>
    </w:p>
    <w:p w14:paraId="3C35900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对于监事会或股东自行召集的股东大会，董事会和董事会秘书将予配合。董事会应当提供股权登记日的股东名册。</w:t>
      </w:r>
    </w:p>
    <w:p w14:paraId="195D8B8D">
      <w:pPr>
        <w:numPr>
          <w:ilvl w:val="0"/>
          <w:numId w:val="7"/>
        </w:numPr>
        <w:spacing w:line="360" w:lineRule="auto"/>
        <w:rPr>
          <w:rFonts w:hint="eastAsia" w:ascii="宋体" w:hAnsi="宋体" w:cs="宋体"/>
          <w:snapToGrid w:val="0"/>
          <w:highlight w:val="none"/>
        </w:rPr>
      </w:pPr>
      <w:r>
        <w:rPr>
          <w:rFonts w:hint="eastAsia" w:ascii="宋体" w:hAnsi="宋体" w:cs="宋体"/>
          <w:snapToGrid w:val="0"/>
          <w:sz w:val="24"/>
          <w:highlight w:val="none"/>
        </w:rPr>
        <w:t xml:space="preserve"> 监事会或股东自行召集的股东大会，会议所必需的费用由公司承担。</w:t>
      </w:r>
    </w:p>
    <w:p w14:paraId="53D5734A">
      <w:pPr>
        <w:pStyle w:val="31"/>
        <w:numPr>
          <w:ilvl w:val="0"/>
          <w:numId w:val="0"/>
        </w:numPr>
        <w:spacing w:before="0" w:after="0" w:line="360" w:lineRule="auto"/>
        <w:rPr>
          <w:rFonts w:hint="eastAsia" w:ascii="宋体" w:hAnsi="宋体" w:eastAsia="宋体" w:cs="宋体"/>
          <w:b/>
          <w:snapToGrid w:val="0"/>
          <w:sz w:val="24"/>
          <w:szCs w:val="24"/>
          <w:highlight w:val="none"/>
        </w:rPr>
      </w:pPr>
      <w:bookmarkStart w:id="106" w:name="_Toc422141925"/>
      <w:bookmarkStart w:id="107" w:name="_Toc20135"/>
      <w:bookmarkStart w:id="108" w:name="_Toc31101"/>
      <w:bookmarkStart w:id="109" w:name="_Toc552"/>
      <w:bookmarkStart w:id="110" w:name="_Toc22147"/>
      <w:bookmarkStart w:id="111" w:name="_Toc203475061"/>
      <w:bookmarkStart w:id="112" w:name="_Toc20368"/>
      <w:bookmarkStart w:id="113" w:name="_Toc6599"/>
      <w:bookmarkStart w:id="114" w:name="_Toc325815147"/>
      <w:bookmarkStart w:id="115" w:name="_Toc2944"/>
      <w:bookmarkStart w:id="116" w:name="_Toc1282160434"/>
      <w:r>
        <w:rPr>
          <w:rFonts w:hint="eastAsia" w:ascii="宋体" w:hAnsi="宋体" w:eastAsia="宋体" w:cs="宋体"/>
          <w:b/>
          <w:snapToGrid w:val="0"/>
          <w:sz w:val="24"/>
          <w:szCs w:val="24"/>
          <w:highlight w:val="none"/>
        </w:rPr>
        <w:t>第四节  股东大会的提案与通知</w:t>
      </w:r>
      <w:bookmarkEnd w:id="106"/>
      <w:bookmarkEnd w:id="107"/>
      <w:bookmarkEnd w:id="108"/>
      <w:bookmarkEnd w:id="109"/>
      <w:bookmarkEnd w:id="110"/>
      <w:bookmarkEnd w:id="111"/>
      <w:bookmarkEnd w:id="112"/>
      <w:bookmarkEnd w:id="113"/>
      <w:bookmarkEnd w:id="114"/>
      <w:bookmarkEnd w:id="115"/>
      <w:bookmarkEnd w:id="116"/>
    </w:p>
    <w:p w14:paraId="4F62B10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提案的内容应当属于股东大会职权范围，有明确议题和具体决议事项，并且符合法律、行政法规和本章程的有关规定。</w:t>
      </w:r>
    </w:p>
    <w:p w14:paraId="7DBEB1C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公司召开股东大会，董事会、监事会以及单独或者合并持有公司3%以上股份的股东，有权向公司提出提案。</w:t>
      </w:r>
    </w:p>
    <w:p w14:paraId="2C42FE2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单独或者合计持有公司3%以上股份的股东，可以在股东大会召开10日前提出临时提案并书面提交召集人。召集人应当在收到提案后2日内发出股东大会补充通知公告临时提案内容。</w:t>
      </w:r>
    </w:p>
    <w:p w14:paraId="323CA6E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除前款规定的情形外，召集人在发出股东大会通知后，不得修改股东大会通知中已列明的提案或增加新的提案。</w:t>
      </w:r>
    </w:p>
    <w:p w14:paraId="72987CC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股东大会通知中未列明或不符合本章程规定的提案，股东大会不得进行表决并作出决议。</w:t>
      </w:r>
    </w:p>
    <w:p w14:paraId="27D7932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召集人将在年度股东大会召开20日前以规定的方式通知各股东，临时股东大会将于会议召开15日前以规定的方式通知各股东，并向各股东提供网络形式的投票平台。</w:t>
      </w:r>
    </w:p>
    <w:p w14:paraId="1A082A24">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公司在计算起始期限时，不包括会议召开当日。</w:t>
      </w:r>
    </w:p>
    <w:p w14:paraId="060330AE">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股东大会的通知包括以下内容：</w:t>
      </w:r>
    </w:p>
    <w:p w14:paraId="16F1DD7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（一）会议的时间、地点和会议期限；</w:t>
      </w:r>
    </w:p>
    <w:p w14:paraId="675B856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（二）提交会议审议的事项和提案；</w:t>
      </w:r>
    </w:p>
    <w:p w14:paraId="4C9124C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（三）以明显的文字说明：全体股东均有权出席股东大会，并可以书面委托代理人出席会议和参加表决，该股东代理人不必是公司的股东；</w:t>
      </w:r>
    </w:p>
    <w:p w14:paraId="042FE47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（四）有权出席股东大会股东的股权登记日；</w:t>
      </w:r>
    </w:p>
    <w:p w14:paraId="02A018C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（五）会务常设联系人姓名，电话号码；</w:t>
      </w:r>
    </w:p>
    <w:p w14:paraId="7345AD39">
      <w:pPr>
        <w:spacing w:line="360" w:lineRule="auto"/>
        <w:ind w:firstLine="480" w:firstLineChars="200"/>
        <w:rPr>
          <w:rFonts w:hint="eastAsia" w:ascii="宋体" w:hAnsi="宋体" w:cs="宋体"/>
          <w:snapToGrid w:val="0"/>
          <w:sz w:val="24"/>
          <w:szCs w:val="22"/>
          <w:highlight w:val="none"/>
        </w:rPr>
      </w:pPr>
      <w:r>
        <w:rPr>
          <w:rFonts w:hint="eastAsia" w:ascii="宋体" w:hAnsi="宋体" w:cs="宋体"/>
          <w:snapToGrid w:val="0"/>
          <w:sz w:val="24"/>
          <w:szCs w:val="22"/>
          <w:highlight w:val="none"/>
        </w:rPr>
        <w:t>（六）网络或其他方式的表决时间及表决程序。</w:t>
      </w:r>
    </w:p>
    <w:p w14:paraId="7EA23E48">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股东大会通知和补充通知中应当充分、完整披露所有提案的全部具体内容，以及为使股东对拟讨论的事项作出合理判断所需的全部资料或解释。拟讨论的事项需要独立董事发表意见的，发布股东大会通知或补充通知时将同时披露独立董事的意见及理由。</w:t>
      </w:r>
    </w:p>
    <w:p w14:paraId="08A7442E">
      <w:pPr>
        <w:spacing w:line="360" w:lineRule="auto"/>
        <w:ind w:firstLine="518" w:firstLineChars="216"/>
        <w:rPr>
          <w:rFonts w:hint="eastAsia" w:ascii="宋体" w:hAnsi="宋体" w:cs="宋体"/>
          <w:snapToGrid w:val="0"/>
          <w:sz w:val="24"/>
          <w:szCs w:val="24"/>
          <w:highlight w:val="none"/>
        </w:rPr>
      </w:pPr>
      <w:r>
        <w:rPr>
          <w:rFonts w:hint="eastAsia" w:ascii="宋体" w:hAnsi="宋体" w:cs="宋体"/>
          <w:snapToGrid w:val="0"/>
          <w:sz w:val="24"/>
          <w:szCs w:val="24"/>
          <w:highlight w:val="none"/>
        </w:rPr>
        <w:t>股东大会采用网络投票方式时，股东大会通知中应明确载明网络的表决时间及表决程序。股东大会网络</w:t>
      </w:r>
      <w:r>
        <w:rPr>
          <w:rFonts w:hint="eastAsia" w:ascii="宋体" w:hAnsi="宋体" w:cs="宋体"/>
          <w:snapToGrid w:val="0"/>
          <w:sz w:val="24"/>
          <w:szCs w:val="24"/>
          <w:highlight w:val="none"/>
          <w:lang w:val="en-US" w:eastAsia="zh-CN"/>
        </w:rPr>
        <w:t>或其他方式</w:t>
      </w:r>
      <w:r>
        <w:rPr>
          <w:rFonts w:hint="eastAsia" w:ascii="宋体" w:hAnsi="宋体" w:cs="宋体"/>
          <w:snapToGrid w:val="0"/>
          <w:sz w:val="24"/>
          <w:szCs w:val="24"/>
          <w:highlight w:val="none"/>
        </w:rPr>
        <w:t>投票的开始时间，不得早于现场股东大会召开前1日下午3:00，并不得迟于现场股东大会召开当日上午9:30，其结束时间不得早于现场股东大会结束当日下午3:00。</w:t>
      </w:r>
    </w:p>
    <w:p w14:paraId="43AB36E9">
      <w:pPr>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szCs w:val="24"/>
          <w:highlight w:val="none"/>
        </w:rPr>
        <w:t>股权登记日与会议日期之间的间隔应当不多于7个工作日。股权登记日一旦确认，不得变更。</w:t>
      </w:r>
    </w:p>
    <w:p w14:paraId="5A3AE85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股东大会拟讨论董事、监事选举事项的，股东大会通知中将充分披露董事、监事候选人的详细资料，至少包括以下内容：</w:t>
      </w:r>
    </w:p>
    <w:p w14:paraId="28B1F08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（一）教育背景、工作经历、兼职等个人情况；</w:t>
      </w:r>
    </w:p>
    <w:p w14:paraId="46503E6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（二）与公司或公司的控股股东及实际控制人是否存在关联关系；</w:t>
      </w:r>
    </w:p>
    <w:p w14:paraId="110940A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（三）披露持有公司股份数量；</w:t>
      </w:r>
    </w:p>
    <w:p w14:paraId="66C1881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（四）是否受过中国证监会及其他有关部门的处罚和证券交易所惩戒。</w:t>
      </w:r>
    </w:p>
    <w:p w14:paraId="1B69E54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除采取累积投票制选举董事、监事外，每位董事、监事候选人应当以单项提案提出。</w:t>
      </w:r>
    </w:p>
    <w:p w14:paraId="1823718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发出股东大会通知后，无正当理由，股东大会不应延期或取消，股东大会通知中列明的提案不应取消。一旦出现延期或取消的情形，召集人应当在原定召开日前至少2个工作日通知股东并说明原因。</w:t>
      </w:r>
    </w:p>
    <w:p w14:paraId="27DB3F84">
      <w:pPr>
        <w:pStyle w:val="31"/>
        <w:numPr>
          <w:ilvl w:val="0"/>
          <w:numId w:val="0"/>
        </w:numPr>
        <w:spacing w:before="0" w:after="0" w:line="360" w:lineRule="auto"/>
        <w:rPr>
          <w:rFonts w:hint="eastAsia" w:ascii="宋体" w:hAnsi="宋体" w:eastAsia="宋体" w:cs="宋体"/>
          <w:b/>
          <w:snapToGrid w:val="0"/>
          <w:sz w:val="24"/>
          <w:szCs w:val="24"/>
          <w:highlight w:val="none"/>
        </w:rPr>
      </w:pPr>
      <w:bookmarkStart w:id="117" w:name="_Toc422141926"/>
      <w:bookmarkStart w:id="118" w:name="_Toc22949"/>
      <w:bookmarkStart w:id="119" w:name="_Toc30951"/>
      <w:bookmarkStart w:id="120" w:name="_Toc17565"/>
      <w:bookmarkStart w:id="121" w:name="_Toc1253"/>
      <w:bookmarkStart w:id="122" w:name="_Toc28924"/>
      <w:bookmarkStart w:id="123" w:name="_Toc203475062"/>
      <w:bookmarkStart w:id="124" w:name="_Toc895"/>
      <w:bookmarkStart w:id="125" w:name="_Toc1419500240"/>
      <w:bookmarkStart w:id="126" w:name="_Toc19957"/>
      <w:bookmarkStart w:id="127" w:name="_Toc325815148"/>
      <w:r>
        <w:rPr>
          <w:rFonts w:hint="eastAsia" w:ascii="宋体" w:hAnsi="宋体" w:eastAsia="宋体" w:cs="宋体"/>
          <w:b/>
          <w:snapToGrid w:val="0"/>
          <w:sz w:val="24"/>
          <w:szCs w:val="24"/>
          <w:highlight w:val="none"/>
        </w:rPr>
        <w:t>第五节  股东大会的召开</w:t>
      </w:r>
      <w:bookmarkEnd w:id="117"/>
      <w:bookmarkEnd w:id="118"/>
      <w:bookmarkEnd w:id="119"/>
      <w:bookmarkEnd w:id="120"/>
      <w:bookmarkEnd w:id="121"/>
      <w:bookmarkEnd w:id="122"/>
      <w:bookmarkEnd w:id="123"/>
      <w:bookmarkEnd w:id="124"/>
      <w:bookmarkEnd w:id="125"/>
      <w:bookmarkEnd w:id="126"/>
      <w:bookmarkEnd w:id="127"/>
    </w:p>
    <w:p w14:paraId="69FC97F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公司董事会和其他召集人将采取必要措施，保证股东大会的正常秩序。对于干扰股东大会、寻衅滋事和侵犯股东合法权益的行为，将采取措施加以制止并及时报告有关部门查处。</w:t>
      </w:r>
    </w:p>
    <w:p w14:paraId="14A149C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股权登记日登记在册的所有股东或其代理人，均有权出席股东大会。并依照有关法律、法规及本章程行使表决权。</w:t>
      </w:r>
    </w:p>
    <w:p w14:paraId="0AECAA6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股东可以亲自出席股东大会，也可以委托代理人代为出席和表决。</w:t>
      </w:r>
    </w:p>
    <w:p w14:paraId="7A9E34B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个人股东亲自出席会议的，应出示本人身份证或其他能够表明其身份的有效证件或证明、股票账户卡；委托代理他人出席会议的，应出示本人有效身份证件、股东授权委托书。</w:t>
      </w:r>
    </w:p>
    <w:p w14:paraId="0C671CD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4CA9CCA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股东出具的委托他人出席股东大会的授权委托书应当载明下列内容：</w:t>
      </w:r>
    </w:p>
    <w:p w14:paraId="3034092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（一）代理人的姓名；</w:t>
      </w:r>
    </w:p>
    <w:p w14:paraId="27E68C8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（二）是否具有表决权；</w:t>
      </w:r>
    </w:p>
    <w:p w14:paraId="08EBF47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（三）分别对列入股东大会议程的每一审议事项投赞成、反对、弃权或回避票的指示；</w:t>
      </w:r>
    </w:p>
    <w:p w14:paraId="2B49F1BA">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（四）委托书签发日期和有效期限；</w:t>
      </w:r>
    </w:p>
    <w:p w14:paraId="1EBA4AD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（五）委托人签名（或盖章）。委托人为法人股东的，应加盖法人单位印章。</w:t>
      </w:r>
    </w:p>
    <w:p w14:paraId="5D38367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委托书应当注明如果股东不作具体指示，股东代理人是否可以按自己的意思表决。</w:t>
      </w:r>
    </w:p>
    <w:p w14:paraId="0D72AAE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02E9CF0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委托人为法人的，由其法定代表人或者董事会、其他决策机构决议授权的人作为代表出席公司的股东大会。</w:t>
      </w:r>
    </w:p>
    <w:p w14:paraId="205E357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出席会议人员的会议登记册由公司负责制作。会议登记册载明参加会议人员姓名（或单位名称）、身份证号码、住所地址、持有或者代表有表决权的股份数额、被代理人姓名（或单位名称）等事项。</w:t>
      </w:r>
    </w:p>
    <w:p w14:paraId="4189DDB0">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14:paraId="23DE3A4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股东大会召开时，公司全体董事、监事和董事会秘书应当出席会议，总经理和其他高级管理人员应当列席会议。</w:t>
      </w:r>
    </w:p>
    <w:p w14:paraId="52A78870">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股东大会由董事长主持。董事长不能履行职务或不履行职务时，由半数以上董事共同推举的一名董事主持。</w:t>
      </w:r>
    </w:p>
    <w:p w14:paraId="5D1634D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监事会自行召集的股东大会，由监事会主席主持。监事会主席不能履行职务或不履行职务时，由半数以上监事共同推举的一名监事主持。</w:t>
      </w:r>
    </w:p>
    <w:p w14:paraId="468EED8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股东自行召集的股东大会，由召集人推举代表主持。</w:t>
      </w:r>
    </w:p>
    <w:p w14:paraId="019BF27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召开股东大会时，会议主持人违反议事规则使股东大会无法继续进行的，经现场出席股东大会有表决权过半数的股东同意，股东大会可推举一人担任会议主持人，继续开会。</w:t>
      </w:r>
    </w:p>
    <w:p w14:paraId="40DD7F6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w:t>
      </w:r>
    </w:p>
    <w:p w14:paraId="76F941D7">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股东大会议事规则应作为章程的附件，由董事会拟定，股东大会批准。</w:t>
      </w:r>
    </w:p>
    <w:p w14:paraId="17E7E5F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在年度股东大会上，董事会、监事会应当就其过去一年的工作向股东大会作出报告。每位独立董事也应当作出述职报告。</w:t>
      </w:r>
    </w:p>
    <w:p w14:paraId="222D8FE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董事、监事、高级管理人员在股东大会上就股东的质询和建议作出解释和说明。</w:t>
      </w:r>
    </w:p>
    <w:p w14:paraId="23DDC1B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会议主持人应当在表决前宣布现场出席会议的股东和代理人人数及所持有表决权的股份总数，现场出席会议的股东和代理人人数及所持有表决权的股份总数以会议登记为准。</w:t>
      </w:r>
    </w:p>
    <w:p w14:paraId="28373FE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股东大会应有会议记录，由董事会秘书负责。会议记录记载以下内容：</w:t>
      </w:r>
    </w:p>
    <w:p w14:paraId="27473AD3">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（一）会议时间、地点、议程和召集人姓名或名称；</w:t>
      </w:r>
    </w:p>
    <w:p w14:paraId="78A985B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（二）会议主持人以及出席或列席会议的董事、监事、总经理和其他高级管理人员姓名；</w:t>
      </w:r>
    </w:p>
    <w:p w14:paraId="07CB008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（三）出席会议的股东和代理人人数、所持有表决权的股份总数及占公司股份总数的比例；</w:t>
      </w:r>
    </w:p>
    <w:p w14:paraId="070B55A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（四）对每一提案的审议经过、发言要点和表决结果；</w:t>
      </w:r>
    </w:p>
    <w:p w14:paraId="070E049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（五）股东的质询意见或建议以及相应的答复或说明；</w:t>
      </w:r>
    </w:p>
    <w:p w14:paraId="42D746E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（六）律师及计票人、监票人姓名；</w:t>
      </w:r>
    </w:p>
    <w:p w14:paraId="69D6875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（七）本章程规定应当载入会议记录的其他内容。</w:t>
      </w:r>
    </w:p>
    <w:p w14:paraId="234ACCD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14:paraId="25728BA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14:paraId="1A43BAD7">
      <w:pPr>
        <w:pStyle w:val="31"/>
        <w:numPr>
          <w:ilvl w:val="0"/>
          <w:numId w:val="0"/>
        </w:numPr>
        <w:spacing w:before="0" w:after="0" w:line="360" w:lineRule="auto"/>
        <w:rPr>
          <w:rFonts w:hint="eastAsia" w:ascii="宋体" w:hAnsi="宋体" w:eastAsia="宋体" w:cs="宋体"/>
          <w:b/>
          <w:snapToGrid w:val="0"/>
          <w:sz w:val="24"/>
          <w:szCs w:val="24"/>
          <w:highlight w:val="none"/>
        </w:rPr>
      </w:pPr>
      <w:bookmarkStart w:id="128" w:name="_Toc325815149"/>
      <w:bookmarkStart w:id="129" w:name="_Toc24029"/>
      <w:bookmarkStart w:id="130" w:name="_Toc1144699157"/>
      <w:bookmarkStart w:id="131" w:name="_Toc21509"/>
      <w:bookmarkStart w:id="132" w:name="_Toc203475063"/>
      <w:bookmarkStart w:id="133" w:name="_Toc23398"/>
      <w:bookmarkStart w:id="134" w:name="_Toc17725"/>
      <w:bookmarkStart w:id="135" w:name="_Toc422141927"/>
      <w:bookmarkStart w:id="136" w:name="_Toc970"/>
      <w:bookmarkStart w:id="137" w:name="_Toc5289"/>
      <w:bookmarkStart w:id="138" w:name="_Toc29449"/>
      <w:r>
        <w:rPr>
          <w:rFonts w:hint="eastAsia" w:ascii="宋体" w:hAnsi="宋体" w:eastAsia="宋体" w:cs="宋体"/>
          <w:b/>
          <w:snapToGrid w:val="0"/>
          <w:sz w:val="24"/>
          <w:szCs w:val="24"/>
          <w:highlight w:val="none"/>
        </w:rPr>
        <w:t>第六节  股东大会的表决和决议</w:t>
      </w:r>
      <w:bookmarkEnd w:id="128"/>
      <w:bookmarkEnd w:id="129"/>
      <w:bookmarkEnd w:id="130"/>
      <w:bookmarkEnd w:id="131"/>
      <w:bookmarkEnd w:id="132"/>
      <w:bookmarkEnd w:id="133"/>
      <w:bookmarkEnd w:id="134"/>
      <w:bookmarkEnd w:id="135"/>
      <w:bookmarkEnd w:id="136"/>
      <w:bookmarkEnd w:id="137"/>
      <w:bookmarkEnd w:id="138"/>
    </w:p>
    <w:p w14:paraId="4D909E93">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股东大会决议分为普通决议和特别决议。</w:t>
      </w:r>
    </w:p>
    <w:p w14:paraId="78FA8F1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股东大会作出普通决议，应当由出席股东大会的股东（包括股东代理人）所持表决权的1/2以上通过。</w:t>
      </w:r>
    </w:p>
    <w:p w14:paraId="58B200F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股东大会作出特别决议，应当由出席股东大会的股东（包括股东代理人）所持表决权的2/3以上通过。</w:t>
      </w:r>
    </w:p>
    <w:p w14:paraId="328E4ECF">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下列事项由股东大会以普通决议通过：</w:t>
      </w:r>
    </w:p>
    <w:p w14:paraId="56884F4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（一）董事会和监事会的工作报告；</w:t>
      </w:r>
    </w:p>
    <w:p w14:paraId="2C904C7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（二）董事会拟定的利润分配方案和弥补亏损方案；</w:t>
      </w:r>
    </w:p>
    <w:p w14:paraId="2D002C2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（三）董事会和监事会成员的任免及其报酬和支付方法；</w:t>
      </w:r>
    </w:p>
    <w:p w14:paraId="36DC02A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（四）公司年度预算方案、决算方案；</w:t>
      </w:r>
    </w:p>
    <w:p w14:paraId="08C525D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（五）公司年度报告；</w:t>
      </w:r>
    </w:p>
    <w:p w14:paraId="19BE1F3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（六）除法律、行政法规规定或者本章程规定应当以特别决议通过以外的其他事项。</w:t>
      </w:r>
    </w:p>
    <w:p w14:paraId="54782D3C">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下列事项由股东大会以特别决议通过：</w:t>
      </w:r>
    </w:p>
    <w:p w14:paraId="4F70F7C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（一）公司增加或者减少注册资本；</w:t>
      </w:r>
    </w:p>
    <w:p w14:paraId="3BDE7BD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（二）公司的分立、分拆、合并、解散和清算；</w:t>
      </w:r>
    </w:p>
    <w:p w14:paraId="2DED08F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（三）本章程的修改；</w:t>
      </w:r>
    </w:p>
    <w:p w14:paraId="76A47D4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（四）因本章程第二十五条第（一）项、第（二）项的原因回购本公司股票；</w:t>
      </w:r>
    </w:p>
    <w:p w14:paraId="2D5AC65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（五）公司在一年内购买、出售重大资产或者担保金额超过公司最近一期经审计总资产30%的；</w:t>
      </w:r>
    </w:p>
    <w:p w14:paraId="17EA2FF8">
      <w:pPr>
        <w:spacing w:line="360" w:lineRule="auto"/>
        <w:ind w:firstLine="480" w:firstLineChars="200"/>
        <w:outlineLvl w:val="3"/>
        <w:rPr>
          <w:rFonts w:hint="eastAsia" w:ascii="宋体" w:hAnsi="宋体" w:cs="宋体"/>
          <w:snapToGrid w:val="0"/>
          <w:sz w:val="24"/>
          <w:highlight w:val="none"/>
        </w:rPr>
      </w:pPr>
      <w:r>
        <w:rPr>
          <w:rFonts w:hint="eastAsia" w:ascii="宋体" w:hAnsi="宋体" w:cs="宋体"/>
          <w:sz w:val="24"/>
          <w:highlight w:val="none"/>
        </w:rPr>
        <w:t>（六）</w:t>
      </w:r>
      <w:r>
        <w:rPr>
          <w:rFonts w:hint="eastAsia" w:ascii="宋体" w:hAnsi="宋体" w:cs="宋体"/>
          <w:snapToGrid w:val="0"/>
          <w:sz w:val="24"/>
          <w:highlight w:val="none"/>
        </w:rPr>
        <w:t>股权激励计划；</w:t>
      </w:r>
    </w:p>
    <w:p w14:paraId="14F424C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（七）法律、行政法规或本章程规定的，以及股东大会以普通决议认定会对公司产生重大影响的、需要以特别决议通过的其他事项。</w:t>
      </w:r>
    </w:p>
    <w:p w14:paraId="15AC497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股东（包括股东代理人）以其所代表的有表决权的股份数额行使表决权，每一股份享有一票表决权。</w:t>
      </w:r>
    </w:p>
    <w:p w14:paraId="3F95E1E6">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股东大会审议影响中小投资者利益的重大事项时，应当对除公司董事、监事、高级管理人员以及单独或者合计持有公司5%以上股份的股东以外的其他股东的表决单独计票并披露。</w:t>
      </w:r>
    </w:p>
    <w:p w14:paraId="513FCF67">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公司持有的本公司股份没有表决权，且该部分股份不计入出席股东大会有表决权的股份总数。</w:t>
      </w:r>
    </w:p>
    <w:p w14:paraId="03824202">
      <w:pPr>
        <w:spacing w:line="360" w:lineRule="auto"/>
        <w:ind w:firstLine="480"/>
        <w:rPr>
          <w:rFonts w:hint="eastAsia" w:ascii="宋体" w:hAnsi="宋体" w:cs="宋体"/>
          <w:snapToGrid w:val="0"/>
          <w:sz w:val="24"/>
          <w:szCs w:val="22"/>
          <w:highlight w:val="none"/>
        </w:rPr>
      </w:pPr>
      <w:r>
        <w:rPr>
          <w:rFonts w:hint="eastAsia" w:ascii="宋体" w:hAnsi="宋体" w:cs="宋体"/>
          <w:snapToGrid w:val="0"/>
          <w:sz w:val="24"/>
          <w:szCs w:val="22"/>
          <w:highlight w:val="none"/>
        </w:rPr>
        <w:t>股东买入公司有表决权的股份违反</w:t>
      </w:r>
      <w:r>
        <w:rPr>
          <w:rFonts w:hint="eastAsia" w:ascii="宋体" w:hAnsi="宋体" w:cs="宋体"/>
          <w:snapToGrid w:val="0"/>
          <w:sz w:val="24"/>
          <w:szCs w:val="22"/>
          <w:highlight w:val="none"/>
        </w:rPr>
        <w:fldChar w:fldCharType="begin"/>
      </w:r>
      <w:r>
        <w:rPr>
          <w:rFonts w:hint="eastAsia" w:ascii="宋体" w:hAnsi="宋体" w:cs="宋体"/>
          <w:snapToGrid w:val="0"/>
          <w:sz w:val="24"/>
          <w:szCs w:val="22"/>
          <w:highlight w:val="none"/>
        </w:rPr>
        <w:instrText xml:space="preserve"> HYPERLINK "https://www.pkulaw.com/chl/javascript:SLC(338305)" </w:instrText>
      </w:r>
      <w:r>
        <w:rPr>
          <w:rFonts w:hint="eastAsia" w:ascii="宋体" w:hAnsi="宋体" w:cs="宋体"/>
          <w:snapToGrid w:val="0"/>
          <w:sz w:val="24"/>
          <w:szCs w:val="22"/>
          <w:highlight w:val="none"/>
        </w:rPr>
        <w:fldChar w:fldCharType="separate"/>
      </w:r>
      <w:r>
        <w:rPr>
          <w:rFonts w:hint="eastAsia" w:ascii="宋体" w:hAnsi="宋体" w:cs="宋体"/>
          <w:snapToGrid w:val="0"/>
          <w:sz w:val="24"/>
          <w:szCs w:val="22"/>
          <w:highlight w:val="none"/>
        </w:rPr>
        <w:t>《证券法》</w:t>
      </w:r>
      <w:r>
        <w:rPr>
          <w:rFonts w:hint="eastAsia" w:ascii="宋体" w:hAnsi="宋体" w:cs="宋体"/>
          <w:snapToGrid w:val="0"/>
          <w:sz w:val="24"/>
          <w:szCs w:val="22"/>
          <w:highlight w:val="none"/>
        </w:rPr>
        <w:fldChar w:fldCharType="end"/>
      </w:r>
      <w:r>
        <w:rPr>
          <w:rFonts w:hint="eastAsia" w:ascii="宋体" w:hAnsi="宋体" w:cs="宋体"/>
          <w:snapToGrid w:val="0"/>
          <w:sz w:val="24"/>
          <w:szCs w:val="22"/>
          <w:highlight w:val="none"/>
        </w:rPr>
        <w:t>第</w:t>
      </w:r>
      <w:r>
        <w:rPr>
          <w:rFonts w:hint="eastAsia" w:ascii="宋体" w:hAnsi="宋体" w:cs="宋体"/>
          <w:snapToGrid w:val="0"/>
          <w:sz w:val="24"/>
          <w:szCs w:val="22"/>
          <w:highlight w:val="none"/>
        </w:rPr>
        <w:fldChar w:fldCharType="begin"/>
      </w:r>
      <w:r>
        <w:rPr>
          <w:rFonts w:hint="eastAsia" w:ascii="宋体" w:hAnsi="宋体" w:cs="宋体"/>
          <w:snapToGrid w:val="0"/>
          <w:sz w:val="24"/>
          <w:szCs w:val="22"/>
          <w:highlight w:val="none"/>
        </w:rPr>
        <w:instrText xml:space="preserve"> HYPERLINK "https://www.pkulaw.com/chl/javascript:SLC(338305,63)" </w:instrText>
      </w:r>
      <w:r>
        <w:rPr>
          <w:rFonts w:hint="eastAsia" w:ascii="宋体" w:hAnsi="宋体" w:cs="宋体"/>
          <w:snapToGrid w:val="0"/>
          <w:sz w:val="24"/>
          <w:szCs w:val="22"/>
          <w:highlight w:val="none"/>
        </w:rPr>
        <w:fldChar w:fldCharType="separate"/>
      </w:r>
      <w:r>
        <w:rPr>
          <w:rFonts w:hint="eastAsia" w:ascii="宋体" w:hAnsi="宋体" w:cs="宋体"/>
          <w:snapToGrid w:val="0"/>
          <w:sz w:val="24"/>
          <w:szCs w:val="22"/>
          <w:highlight w:val="none"/>
        </w:rPr>
        <w:t>六十三条</w:t>
      </w:r>
      <w:r>
        <w:rPr>
          <w:rFonts w:hint="eastAsia" w:ascii="宋体" w:hAnsi="宋体" w:cs="宋体"/>
          <w:snapToGrid w:val="0"/>
          <w:sz w:val="24"/>
          <w:szCs w:val="22"/>
          <w:highlight w:val="none"/>
        </w:rPr>
        <w:fldChar w:fldCharType="end"/>
      </w:r>
      <w:r>
        <w:rPr>
          <w:rFonts w:hint="eastAsia" w:ascii="宋体" w:hAnsi="宋体" w:cs="宋体"/>
          <w:snapToGrid w:val="0"/>
          <w:sz w:val="24"/>
          <w:szCs w:val="22"/>
          <w:highlight w:val="none"/>
        </w:rPr>
        <w:t>第</w:t>
      </w:r>
      <w:r>
        <w:rPr>
          <w:rFonts w:hint="eastAsia" w:ascii="宋体" w:hAnsi="宋体" w:cs="宋体"/>
          <w:snapToGrid w:val="0"/>
          <w:sz w:val="24"/>
          <w:szCs w:val="22"/>
          <w:highlight w:val="none"/>
        </w:rPr>
        <w:fldChar w:fldCharType="begin"/>
      </w:r>
      <w:r>
        <w:rPr>
          <w:rFonts w:hint="eastAsia" w:ascii="宋体" w:hAnsi="宋体" w:cs="宋体"/>
          <w:snapToGrid w:val="0"/>
          <w:sz w:val="24"/>
          <w:szCs w:val="22"/>
          <w:highlight w:val="none"/>
        </w:rPr>
        <w:instrText xml:space="preserve"> HYPERLINK "https://www.pkulaw.com/chl/javascript:SLC(338305,63,1)" </w:instrText>
      </w:r>
      <w:r>
        <w:rPr>
          <w:rFonts w:hint="eastAsia" w:ascii="宋体" w:hAnsi="宋体" w:cs="宋体"/>
          <w:snapToGrid w:val="0"/>
          <w:sz w:val="24"/>
          <w:szCs w:val="22"/>
          <w:highlight w:val="none"/>
        </w:rPr>
        <w:fldChar w:fldCharType="separate"/>
      </w:r>
      <w:r>
        <w:rPr>
          <w:rFonts w:hint="eastAsia" w:ascii="宋体" w:hAnsi="宋体" w:cs="宋体"/>
          <w:snapToGrid w:val="0"/>
          <w:sz w:val="24"/>
          <w:szCs w:val="22"/>
          <w:highlight w:val="none"/>
        </w:rPr>
        <w:t>一款</w:t>
      </w:r>
      <w:r>
        <w:rPr>
          <w:rFonts w:hint="eastAsia" w:ascii="宋体" w:hAnsi="宋体" w:cs="宋体"/>
          <w:snapToGrid w:val="0"/>
          <w:sz w:val="24"/>
          <w:szCs w:val="22"/>
          <w:highlight w:val="none"/>
        </w:rPr>
        <w:fldChar w:fldCharType="end"/>
      </w:r>
      <w:r>
        <w:rPr>
          <w:rFonts w:hint="eastAsia" w:ascii="宋体" w:hAnsi="宋体" w:cs="宋体"/>
          <w:snapToGrid w:val="0"/>
          <w:sz w:val="24"/>
          <w:szCs w:val="22"/>
          <w:highlight w:val="none"/>
        </w:rPr>
        <w:t>、第</w:t>
      </w:r>
      <w:r>
        <w:rPr>
          <w:rFonts w:hint="eastAsia" w:ascii="宋体" w:hAnsi="宋体" w:cs="宋体"/>
          <w:snapToGrid w:val="0"/>
          <w:sz w:val="24"/>
          <w:szCs w:val="22"/>
          <w:highlight w:val="none"/>
        </w:rPr>
        <w:fldChar w:fldCharType="begin"/>
      </w:r>
      <w:r>
        <w:rPr>
          <w:rFonts w:hint="eastAsia" w:ascii="宋体" w:hAnsi="宋体" w:cs="宋体"/>
          <w:snapToGrid w:val="0"/>
          <w:sz w:val="24"/>
          <w:szCs w:val="22"/>
          <w:highlight w:val="none"/>
        </w:rPr>
        <w:instrText xml:space="preserve"> HYPERLINK "https://www.pkulaw.com/chl/javascript:SLC(338305,63,2)" </w:instrText>
      </w:r>
      <w:r>
        <w:rPr>
          <w:rFonts w:hint="eastAsia" w:ascii="宋体" w:hAnsi="宋体" w:cs="宋体"/>
          <w:snapToGrid w:val="0"/>
          <w:sz w:val="24"/>
          <w:szCs w:val="22"/>
          <w:highlight w:val="none"/>
        </w:rPr>
        <w:fldChar w:fldCharType="separate"/>
      </w:r>
      <w:r>
        <w:rPr>
          <w:rFonts w:hint="eastAsia" w:ascii="宋体" w:hAnsi="宋体" w:cs="宋体"/>
          <w:snapToGrid w:val="0"/>
          <w:sz w:val="24"/>
          <w:szCs w:val="22"/>
          <w:highlight w:val="none"/>
        </w:rPr>
        <w:t>二款</w:t>
      </w:r>
      <w:r>
        <w:rPr>
          <w:rFonts w:hint="eastAsia" w:ascii="宋体" w:hAnsi="宋体" w:cs="宋体"/>
          <w:snapToGrid w:val="0"/>
          <w:sz w:val="24"/>
          <w:szCs w:val="22"/>
          <w:highlight w:val="none"/>
        </w:rPr>
        <w:fldChar w:fldCharType="end"/>
      </w:r>
      <w:r>
        <w:rPr>
          <w:rFonts w:hint="eastAsia" w:ascii="宋体" w:hAnsi="宋体" w:cs="宋体"/>
          <w:snapToGrid w:val="0"/>
          <w:sz w:val="24"/>
          <w:szCs w:val="22"/>
          <w:highlight w:val="none"/>
        </w:rPr>
        <w:t>规定的，该超过规定比例部分的股份在买入后的三十六个月内不得行使表决权，且不计入出席股东大会有表决权的股份总数。</w:t>
      </w:r>
    </w:p>
    <w:p w14:paraId="14DDC290">
      <w:pPr>
        <w:spacing w:line="360" w:lineRule="auto"/>
        <w:ind w:firstLine="480"/>
        <w:rPr>
          <w:rFonts w:ascii="宋体" w:hAnsi="宋体" w:cs="宋体"/>
          <w:snapToGrid w:val="0"/>
          <w:sz w:val="24"/>
          <w:highlight w:val="none"/>
        </w:rPr>
      </w:pPr>
      <w:r>
        <w:rPr>
          <w:rFonts w:hint="eastAsia" w:ascii="宋体" w:hAnsi="宋体" w:cs="宋体"/>
          <w:snapToGrid w:val="0"/>
          <w:sz w:val="24"/>
          <w:highlight w:val="none"/>
        </w:rPr>
        <w:t>公司董事会、独立董事、持有1%以上有表决权股份的股东或者依照法律法规设立的投资者保护机构公开请求股东委托其代为行使提案权、表决权等的，征集人应当依规披露征集公告和相关征集文件，不得以有偿或者变相有偿方式公开征集股东权利，公司应当予以配合。征集人持有公司股票的，应当承诺在审议征集议案的股东大会决议公告前不转让所持股份。</w:t>
      </w:r>
    </w:p>
    <w:p w14:paraId="03E570AA">
      <w:pPr>
        <w:spacing w:line="360" w:lineRule="auto"/>
        <w:ind w:firstLine="480"/>
        <w:rPr>
          <w:rFonts w:ascii="宋体" w:hAnsi="宋体" w:cs="宋体"/>
          <w:snapToGrid w:val="0"/>
          <w:sz w:val="24"/>
          <w:highlight w:val="none"/>
        </w:rPr>
      </w:pPr>
      <w:r>
        <w:rPr>
          <w:rFonts w:hint="eastAsia" w:ascii="宋体" w:hAnsi="宋体" w:cs="宋体"/>
          <w:snapToGrid w:val="0"/>
          <w:sz w:val="24"/>
          <w:highlight w:val="none"/>
        </w:rPr>
        <w:t>征集人可以采用电子化方式公开征集股东权利，为股东进行委托提供便利，公司应当予以配合。</w:t>
      </w:r>
    </w:p>
    <w:p w14:paraId="47089813">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征集人仅对股东大会部分提案提出投票意见的，应当同时征求股东对于其他提案的投票意见，并按其意见代为表决。</w:t>
      </w:r>
    </w:p>
    <w:p w14:paraId="73D560D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股东大会审议有关关联交易事项时，关联股东不应当参与投票表决，其所代表的有表决权的股份数不计入有效表决总数；股东大会决议应当记录非关联股东的表决情况。</w:t>
      </w:r>
    </w:p>
    <w:p w14:paraId="54E188DB">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股东大会审议有关关联交易事项时，有关联关系的股东应当回避；会议需要关联股东到会进行说明的，关联股东有责任和义务到会如实作出说明。有关联关系的股东回避和不参与投票表决的事项，由会议主持人在会议开始时宣布。</w:t>
      </w:r>
    </w:p>
    <w:p w14:paraId="2559F61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除公司处于危机等特殊情况外，非经股东大会以特别决议批准，公司将不与董事、总经理和其它高级管理人员以外的人订立将公司全部或者重要业务的管理交予该人负责的合同。</w:t>
      </w:r>
    </w:p>
    <w:p w14:paraId="66E3493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董事、监事候选人名单以提案的方式提请股东大会表决。</w:t>
      </w:r>
    </w:p>
    <w:p w14:paraId="1ED3381B">
      <w:pPr>
        <w:spacing w:line="360" w:lineRule="auto"/>
        <w:ind w:left="426"/>
        <w:rPr>
          <w:rFonts w:hint="eastAsia" w:ascii="宋体" w:hAnsi="宋体" w:cs="宋体"/>
          <w:snapToGrid w:val="0"/>
          <w:sz w:val="24"/>
          <w:highlight w:val="none"/>
        </w:rPr>
      </w:pPr>
      <w:r>
        <w:rPr>
          <w:rFonts w:hint="eastAsia" w:ascii="宋体" w:hAnsi="宋体" w:cs="宋体"/>
          <w:snapToGrid w:val="0"/>
          <w:sz w:val="24"/>
          <w:highlight w:val="none"/>
        </w:rPr>
        <w:t>董事、监事提名的方式和程序为：</w:t>
      </w:r>
    </w:p>
    <w:p w14:paraId="6CC5A686">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（一）董事会提名委员会、监事会有权向公司董事会推荐非独立董事候选人，并提供非独立董事候选人的简历和基本情况，提交股东大会选举。</w:t>
      </w:r>
    </w:p>
    <w:p w14:paraId="66B1F9E8">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单独或合计持有公司3%以上股份的股东可提出非独立董事或非由职工代表担任的监事候选人名单，并提供候选人的简历和基本情况，提交股东大会选举。</w:t>
      </w:r>
    </w:p>
    <w:p w14:paraId="1282418F">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现任监事有权向公司监事会推荐非由职工代表担任的监事候选人，并提供监事候选人的简历和基本情况，经监事会进行资格审核后，提交股东大会选举。</w:t>
      </w:r>
    </w:p>
    <w:p w14:paraId="3D1FD0E2">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（二）监事会中的职工代表由公司职工通过民主方式选举产生。</w:t>
      </w:r>
    </w:p>
    <w:p w14:paraId="421A2BF2">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（三）公司董事会、监事会、单独或者合计持有公司1%以上股份的股东可以提出独立董事候选人。</w:t>
      </w:r>
    </w:p>
    <w:p w14:paraId="3502692C">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当控股股东控股比例达到30%以上，或者选举2名以上董事或监事的，应当实行累积投票制。</w:t>
      </w:r>
    </w:p>
    <w:p w14:paraId="01175901">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股东大会以累积投票方式选举董事的，独立董事和非独立董事的表决应当分别进行。</w:t>
      </w:r>
      <w:r>
        <w:rPr>
          <w:rStyle w:val="25"/>
          <w:rFonts w:hint="eastAsia"/>
          <w:sz w:val="24"/>
          <w:szCs w:val="24"/>
          <w:highlight w:val="none"/>
        </w:rPr>
        <w:t>不采取累积投票方式选举董事、监事的，每位董事、监事候选人应当以单项提案提出。</w:t>
      </w:r>
    </w:p>
    <w:p w14:paraId="486A444F">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前款所称累积投票制是指股东大会选举董事或者监事时，每一股份拥有与应选董事或者监事人数相同的表决权，股东拥有的表决权可以集中使用。董事会应当向股东告知候选董事、监事的简历和基本情况。</w:t>
      </w:r>
    </w:p>
    <w:p w14:paraId="20E1ADE2">
      <w:pPr>
        <w:spacing w:line="360" w:lineRule="auto"/>
        <w:ind w:firstLine="480"/>
        <w:rPr>
          <w:rFonts w:hint="eastAsia" w:ascii="宋体" w:hAnsi="宋体" w:cs="宋体"/>
          <w:snapToGrid w:val="0"/>
          <w:sz w:val="24"/>
          <w:highlight w:val="none"/>
          <w:lang w:val="en-US" w:eastAsia="zh-CN"/>
        </w:rPr>
      </w:pPr>
      <w:r>
        <w:rPr>
          <w:rFonts w:hint="eastAsia" w:ascii="宋体" w:hAnsi="宋体" w:cs="宋体"/>
          <w:snapToGrid w:val="0"/>
          <w:sz w:val="24"/>
          <w:highlight w:val="none"/>
          <w:lang w:val="en-US" w:eastAsia="zh-CN"/>
        </w:rPr>
        <w:t>下列情形应当采用累积投票制：</w:t>
      </w:r>
    </w:p>
    <w:p w14:paraId="12DCE74D">
      <w:pPr>
        <w:numPr>
          <w:ilvl w:val="0"/>
          <w:numId w:val="8"/>
        </w:numPr>
        <w:spacing w:line="360" w:lineRule="auto"/>
        <w:ind w:firstLine="480"/>
        <w:outlineLvl w:val="3"/>
        <w:rPr>
          <w:rFonts w:hint="eastAsia" w:ascii="宋体" w:hAnsi="宋体" w:cs="宋体"/>
          <w:snapToGrid w:val="0"/>
          <w:sz w:val="24"/>
          <w:highlight w:val="none"/>
          <w:lang w:val="en-US" w:eastAsia="zh-CN"/>
        </w:rPr>
      </w:pPr>
      <w:r>
        <w:rPr>
          <w:rFonts w:hint="eastAsia" w:ascii="宋体" w:hAnsi="宋体" w:cs="宋体"/>
          <w:snapToGrid w:val="0"/>
          <w:sz w:val="24"/>
          <w:highlight w:val="none"/>
          <w:lang w:val="en-US" w:eastAsia="zh-CN"/>
        </w:rPr>
        <w:t>选举两名以上独立董事；</w:t>
      </w:r>
    </w:p>
    <w:p w14:paraId="5F34AF97">
      <w:pPr>
        <w:numPr>
          <w:ilvl w:val="0"/>
          <w:numId w:val="8"/>
        </w:numPr>
        <w:spacing w:line="360" w:lineRule="auto"/>
        <w:ind w:firstLine="480"/>
        <w:rPr>
          <w:rFonts w:hint="default" w:ascii="宋体" w:hAnsi="宋体" w:cs="宋体"/>
          <w:snapToGrid w:val="0"/>
          <w:sz w:val="24"/>
          <w:highlight w:val="none"/>
          <w:lang w:val="en-US" w:eastAsia="zh-CN"/>
        </w:rPr>
      </w:pPr>
      <w:r>
        <w:rPr>
          <w:rFonts w:hint="default" w:ascii="宋体" w:hAnsi="宋体" w:cs="宋体"/>
          <w:snapToGrid w:val="0"/>
          <w:sz w:val="24"/>
          <w:highlight w:val="none"/>
          <w:lang w:val="en-US" w:eastAsia="zh-CN"/>
        </w:rPr>
        <w:t>单一股东及其一致行动人拥有权益的股份比例在30％及以上的上市公司选举两名及以上董事或监事。</w:t>
      </w:r>
    </w:p>
    <w:p w14:paraId="0B3CE76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14:paraId="63B9654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股东大会审议提案时，不会对提案进行修改，否则，有关变更应当被视为一个新的提案，不能在本次股东大会上进行表决。</w:t>
      </w:r>
    </w:p>
    <w:p w14:paraId="2209EBE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同一表决权只能选择现场、网络或其他表决方式中的一种。同一表决权出现重复表决的以第一次投票结果为准。</w:t>
      </w:r>
    </w:p>
    <w:p w14:paraId="1C5C95A0">
      <w:pPr>
        <w:numPr>
          <w:ilvl w:val="0"/>
          <w:numId w:val="7"/>
        </w:num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股东大会采取记名方式投票表决。</w:t>
      </w:r>
    </w:p>
    <w:p w14:paraId="7237571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股东大会对提案进行表决前，应当推举两名股东代表参加计票和监票。审议事项与股东有</w:t>
      </w:r>
      <w:r>
        <w:rPr>
          <w:rFonts w:ascii="宋体" w:hAnsi="宋体" w:cs="宋体"/>
          <w:snapToGrid w:val="0"/>
          <w:sz w:val="24"/>
          <w:highlight w:val="none"/>
        </w:rPr>
        <w:t>利害关系</w:t>
      </w:r>
      <w:r>
        <w:rPr>
          <w:rFonts w:hint="eastAsia" w:ascii="宋体" w:hAnsi="宋体" w:cs="宋体"/>
          <w:snapToGrid w:val="0"/>
          <w:sz w:val="24"/>
          <w:highlight w:val="none"/>
        </w:rPr>
        <w:t>的，相关股东及代理人不得参加计票、监票。</w:t>
      </w:r>
    </w:p>
    <w:p w14:paraId="26498287">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股东大会对提案进行表决时，应当由律师、股东代表与监事代表共同负责计票、监票，并当场公布表决结果，决议的表决结果载入会议记录。</w:t>
      </w:r>
    </w:p>
    <w:p w14:paraId="7035ED1D">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通过网络或其他方式投票的公司股东或其代理人，有权通过相应的投票系统查验自己的投票结果。</w:t>
      </w:r>
    </w:p>
    <w:p w14:paraId="6270A9D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股东大会现场结束时间不得早于网络或其他方式，会议主持人应当宣布每一提案的表决情况和结果，并根据表决结果宣布提案是否通过。</w:t>
      </w:r>
    </w:p>
    <w:p w14:paraId="7098883F">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在正式公布表决结果前，股东大会现场、网络及其他表决方式中所涉及的公司、计票人、监票人、主要股东、网络服务方等相关各方对表决情况均负有保密义务。</w:t>
      </w:r>
    </w:p>
    <w:p w14:paraId="00C34C1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出席股东大会的股东，应当对提交表决的提案发表以下意见之一：同意、反对或弃权。</w:t>
      </w:r>
    </w:p>
    <w:p w14:paraId="3E2E3D09">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未填、错填、字迹无法辨认的表决票、未投的表决票均视为投票人放弃表决权利，其所持股份数的表决结果应计为“弃权”。</w:t>
      </w:r>
    </w:p>
    <w:p w14:paraId="117B24B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5E51A3F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股东大会决议应当及时公告，公告中应列明出席会议的股东和代理人人数、所持有表决权的股份总数及占公司有表决权股份总数的比例、表决方式、每项提案的表决结果和通过的各项决议的详细内容。</w:t>
      </w:r>
    </w:p>
    <w:p w14:paraId="21DF32F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提案未获通过，或者本次股东大会变更前次股东大会决议的，应当在会议决议公告中作特别提示。</w:t>
      </w:r>
    </w:p>
    <w:p w14:paraId="474E82F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股东大会通过有关董事、监事选举提案的，新任董事、监事应获得任职资格，自股东大会作出相关决议之日起就任。</w:t>
      </w:r>
    </w:p>
    <w:p w14:paraId="7082929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股东大会通过有关派现、送股或资本公积转增股本提案的，公司将在股东大会结束后2个月内实施具体方案。</w:t>
      </w:r>
    </w:p>
    <w:p w14:paraId="31B6E08C">
      <w:pPr>
        <w:pStyle w:val="2"/>
        <w:numPr>
          <w:ilvl w:val="0"/>
          <w:numId w:val="0"/>
        </w:numPr>
        <w:spacing w:before="0" w:after="0" w:line="360" w:lineRule="auto"/>
        <w:rPr>
          <w:rFonts w:hint="eastAsia" w:ascii="宋体" w:hAnsi="宋体" w:eastAsia="宋体" w:cs="宋体"/>
          <w:b/>
          <w:kern w:val="0"/>
          <w:sz w:val="30"/>
          <w:szCs w:val="30"/>
          <w:highlight w:val="none"/>
        </w:rPr>
      </w:pPr>
      <w:bookmarkStart w:id="139" w:name="_Toc1800221873"/>
      <w:bookmarkStart w:id="140" w:name="_Toc30671"/>
      <w:bookmarkStart w:id="141" w:name="_Toc5917"/>
      <w:bookmarkStart w:id="142" w:name="_Toc3464"/>
      <w:bookmarkStart w:id="143" w:name="_Toc8279"/>
      <w:bookmarkStart w:id="144" w:name="_Toc15172"/>
      <w:bookmarkStart w:id="145" w:name="_Toc26720"/>
      <w:bookmarkStart w:id="146" w:name="_Toc7682"/>
      <w:bookmarkStart w:id="147" w:name="_Toc325815150"/>
      <w:bookmarkStart w:id="148" w:name="_Toc203475064"/>
      <w:bookmarkStart w:id="149" w:name="_Toc422141928"/>
      <w:r>
        <w:rPr>
          <w:rFonts w:hint="eastAsia" w:ascii="宋体" w:hAnsi="宋体" w:eastAsia="宋体" w:cs="宋体"/>
          <w:b/>
          <w:kern w:val="0"/>
          <w:sz w:val="30"/>
          <w:szCs w:val="30"/>
          <w:highlight w:val="none"/>
        </w:rPr>
        <w:t>第五章  董事会</w:t>
      </w:r>
      <w:bookmarkEnd w:id="139"/>
      <w:bookmarkEnd w:id="140"/>
      <w:bookmarkEnd w:id="141"/>
      <w:bookmarkEnd w:id="142"/>
      <w:bookmarkEnd w:id="143"/>
      <w:bookmarkEnd w:id="144"/>
      <w:bookmarkEnd w:id="145"/>
      <w:bookmarkEnd w:id="146"/>
      <w:bookmarkEnd w:id="147"/>
      <w:bookmarkEnd w:id="148"/>
      <w:bookmarkEnd w:id="149"/>
    </w:p>
    <w:p w14:paraId="4AACB80F">
      <w:pPr>
        <w:pStyle w:val="36"/>
        <w:tabs>
          <w:tab w:val="left" w:pos="1050"/>
          <w:tab w:val="clear" w:pos="1533"/>
        </w:tabs>
        <w:spacing w:before="0" w:after="0" w:line="360" w:lineRule="auto"/>
        <w:ind w:hanging="2"/>
        <w:rPr>
          <w:rFonts w:hint="eastAsia" w:ascii="宋体" w:hAnsi="宋体" w:eastAsia="宋体" w:cs="宋体"/>
          <w:b/>
          <w:snapToGrid w:val="0"/>
          <w:sz w:val="24"/>
          <w:szCs w:val="24"/>
          <w:highlight w:val="none"/>
        </w:rPr>
      </w:pPr>
      <w:bookmarkStart w:id="150" w:name="_Toc1492"/>
      <w:bookmarkStart w:id="151" w:name="_Toc1891"/>
      <w:bookmarkStart w:id="152" w:name="_Toc29146"/>
      <w:bookmarkStart w:id="153" w:name="_Toc23852"/>
      <w:bookmarkStart w:id="154" w:name="_Toc325815151"/>
      <w:bookmarkStart w:id="155" w:name="_Toc422141929"/>
      <w:bookmarkStart w:id="156" w:name="_Toc758"/>
      <w:bookmarkStart w:id="157" w:name="_Toc431916928"/>
      <w:bookmarkStart w:id="158" w:name="_Toc203475065"/>
      <w:bookmarkStart w:id="159" w:name="_Toc17838"/>
      <w:bookmarkStart w:id="160" w:name="_Toc21539"/>
      <w:r>
        <w:rPr>
          <w:rFonts w:hint="eastAsia" w:ascii="宋体" w:hAnsi="宋体" w:eastAsia="宋体" w:cs="宋体"/>
          <w:b/>
          <w:snapToGrid w:val="0"/>
          <w:sz w:val="24"/>
          <w:szCs w:val="24"/>
          <w:highlight w:val="none"/>
        </w:rPr>
        <w:t>董事</w:t>
      </w:r>
      <w:bookmarkEnd w:id="150"/>
      <w:bookmarkEnd w:id="151"/>
      <w:bookmarkEnd w:id="152"/>
      <w:bookmarkEnd w:id="153"/>
      <w:bookmarkEnd w:id="154"/>
      <w:bookmarkEnd w:id="155"/>
      <w:bookmarkEnd w:id="156"/>
      <w:bookmarkEnd w:id="157"/>
      <w:bookmarkEnd w:id="158"/>
      <w:bookmarkEnd w:id="159"/>
      <w:bookmarkEnd w:id="160"/>
    </w:p>
    <w:p w14:paraId="317783F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公司董事为自然人，有下列情形之一的，不能担任公司的董事：</w:t>
      </w:r>
    </w:p>
    <w:p w14:paraId="315F8107">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（一）无民事行为能力或者限制民事行为能力；</w:t>
      </w:r>
    </w:p>
    <w:p w14:paraId="7AA380A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（二）因贪污、贿赂、侵占财产、挪用财产或者破坏社会主义市场经济秩序，被判处刑罚，执行期满未逾5年，或者因犯罪被剥夺政治权利，执行期满未逾5年；</w:t>
      </w:r>
    </w:p>
    <w:p w14:paraId="4B467F4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（三）担任破产清算的公司、企业的董事或者厂长、总经理，对该公司、企业的破产负有个人责任的，自该公司、企业破产清算完结之日起未逾3年；</w:t>
      </w:r>
    </w:p>
    <w:p w14:paraId="292084C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（四）担任因违法被吊销营业执照、责令关闭的公司、企业的法定代表人，并负有个人责任的，自该公司、企业被吊销营业执照之日起未逾3年；</w:t>
      </w:r>
    </w:p>
    <w:p w14:paraId="72A7CEE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（五）个人所负数额较大的债务到期未清偿；</w:t>
      </w:r>
    </w:p>
    <w:p w14:paraId="5D8F21D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（六）被中国证监会</w:t>
      </w:r>
      <w:r>
        <w:rPr>
          <w:rFonts w:ascii="宋体" w:hAnsi="宋体" w:cs="宋体"/>
          <w:snapToGrid w:val="0"/>
          <w:sz w:val="24"/>
          <w:highlight w:val="none"/>
        </w:rPr>
        <w:t>处以</w:t>
      </w:r>
      <w:r>
        <w:rPr>
          <w:rFonts w:hint="eastAsia" w:ascii="宋体" w:hAnsi="宋体" w:cs="宋体"/>
          <w:snapToGrid w:val="0"/>
          <w:sz w:val="24"/>
          <w:highlight w:val="none"/>
        </w:rPr>
        <w:t>证券市场禁入</w:t>
      </w:r>
      <w:r>
        <w:rPr>
          <w:rFonts w:ascii="宋体" w:hAnsi="宋体" w:cs="宋体"/>
          <w:snapToGrid w:val="0"/>
          <w:sz w:val="24"/>
          <w:highlight w:val="none"/>
        </w:rPr>
        <w:t>处罚</w:t>
      </w:r>
      <w:r>
        <w:rPr>
          <w:rFonts w:hint="eastAsia" w:ascii="宋体" w:hAnsi="宋体" w:cs="宋体"/>
          <w:snapToGrid w:val="0"/>
          <w:sz w:val="24"/>
          <w:highlight w:val="none"/>
        </w:rPr>
        <w:t>，期限未满的；</w:t>
      </w:r>
    </w:p>
    <w:p w14:paraId="3BDEE5B3">
      <w:pPr>
        <w:widowControl/>
        <w:spacing w:line="360" w:lineRule="auto"/>
        <w:ind w:firstLine="480" w:firstLineChars="200"/>
        <w:rPr>
          <w:rFonts w:ascii="宋体" w:hAnsi="宋体" w:cs="宋体"/>
          <w:snapToGrid w:val="0"/>
          <w:kern w:val="0"/>
          <w:sz w:val="24"/>
          <w:szCs w:val="24"/>
          <w:highlight w:val="none"/>
          <w:lang w:bidi="ar"/>
        </w:rPr>
      </w:pPr>
      <w:r>
        <w:rPr>
          <w:rFonts w:hint="eastAsia" w:ascii="宋体" w:hAnsi="宋体" w:cs="宋体"/>
          <w:snapToGrid w:val="0"/>
          <w:sz w:val="24"/>
          <w:highlight w:val="none"/>
        </w:rPr>
        <w:t>（七）</w:t>
      </w:r>
      <w:r>
        <w:rPr>
          <w:rFonts w:hint="eastAsia" w:ascii="宋体" w:hAnsi="宋体" w:cs="宋体"/>
          <w:snapToGrid w:val="0"/>
          <w:kern w:val="0"/>
          <w:sz w:val="24"/>
          <w:szCs w:val="24"/>
          <w:highlight w:val="none"/>
          <w:lang w:bidi="ar"/>
        </w:rPr>
        <w:t>法律、行政法规或部门规章规定的其他内容。</w:t>
      </w:r>
    </w:p>
    <w:p w14:paraId="2FC2B882">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违反本条规定选举、委派董事的，该选举、委派或者聘任无效。董事在任职期间出现本条情形的，公司解除其职务。</w:t>
      </w:r>
    </w:p>
    <w:p w14:paraId="3158149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董事由股东大会选举或更换，</w:t>
      </w:r>
      <w:r>
        <w:rPr>
          <w:rFonts w:hint="eastAsia" w:ascii="宋体" w:hAnsi="宋体" w:cs="宋体"/>
          <w:snapToGrid w:val="0"/>
          <w:sz w:val="24"/>
          <w:highlight w:val="none"/>
          <w:lang w:val="en-US" w:eastAsia="zh-CN"/>
        </w:rPr>
        <w:t>并可在任期届满前由股东大会解除其职务。董事</w:t>
      </w:r>
      <w:r>
        <w:rPr>
          <w:rFonts w:hint="eastAsia" w:ascii="宋体" w:hAnsi="宋体" w:cs="宋体"/>
          <w:snapToGrid w:val="0"/>
          <w:sz w:val="24"/>
          <w:highlight w:val="none"/>
        </w:rPr>
        <w:t>任期3年。董事任期届满，可连选连任。</w:t>
      </w:r>
    </w:p>
    <w:p w14:paraId="0F24198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董事任期从就任之日起计算，至本届董事会任期届满时为止。董事任期届满未及时改选，在改选出的董事就任前，原董事仍应当依照法律、行政法规、部门规章和本章程的规定，履行董事职务。</w:t>
      </w:r>
    </w:p>
    <w:p w14:paraId="2512A8A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董事可以由总经理或者其他高级管理人员兼任，但兼任总经理或者其他高级管理人员职务的董事以及由职工代表担任的董事，总计不得超过公司董事总数的1/2。</w:t>
      </w:r>
    </w:p>
    <w:p w14:paraId="65BCE48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董事应当遵守法律、行政法规和本章程，对公司负有下列</w:t>
      </w:r>
      <w:r>
        <w:rPr>
          <w:rFonts w:hint="eastAsia" w:ascii="宋体" w:hAnsi="宋体" w:cs="宋体"/>
          <w:snapToGrid w:val="0"/>
          <w:sz w:val="24"/>
          <w:highlight w:val="none"/>
          <w:lang w:val="en-US" w:eastAsia="zh-CN"/>
        </w:rPr>
        <w:t>忠实</w:t>
      </w:r>
      <w:r>
        <w:rPr>
          <w:rFonts w:hint="eastAsia" w:ascii="宋体" w:hAnsi="宋体" w:cs="宋体"/>
          <w:snapToGrid w:val="0"/>
          <w:sz w:val="24"/>
          <w:highlight w:val="none"/>
        </w:rPr>
        <w:t>义务：</w:t>
      </w:r>
    </w:p>
    <w:p w14:paraId="0A639972">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（一）不得利用职权收受贿赂或者其他非法收入，不得侵占公司的财产；</w:t>
      </w:r>
    </w:p>
    <w:p w14:paraId="5EA347E1">
      <w:pPr>
        <w:spacing w:line="360" w:lineRule="auto"/>
        <w:ind w:firstLine="0" w:firstLineChars="0"/>
        <w:outlineLvl w:val="2"/>
        <w:rPr>
          <w:rFonts w:hint="eastAsia" w:ascii="宋体" w:hAnsi="宋体" w:cs="宋体"/>
          <w:snapToGrid w:val="0"/>
          <w:sz w:val="24"/>
          <w:highlight w:val="none"/>
        </w:rPr>
      </w:pPr>
      <w:r>
        <w:rPr>
          <w:rFonts w:hint="eastAsia" w:ascii="宋体" w:hAnsi="宋体" w:cs="宋体"/>
          <w:snapToGrid w:val="0"/>
          <w:sz w:val="24"/>
          <w:highlight w:val="none"/>
        </w:rPr>
        <w:t>（二）不得挪用公司资金；</w:t>
      </w:r>
    </w:p>
    <w:p w14:paraId="0E5F9CA7">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（三）不得将公司资产或者资金以其个人名义或者其他个人名义开立账户存储；</w:t>
      </w:r>
    </w:p>
    <w:p w14:paraId="50EF8CCB">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（四）不得违反本章程的规定，未经股东大会或董事会同意，将公司资金借贷给他人或者以公司财产为他人提供担保；</w:t>
      </w:r>
    </w:p>
    <w:p w14:paraId="10FDD8F6">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（五）不得违反本章程的规定或未经股东大会同意，与公司订立合同或者进行交易；</w:t>
      </w:r>
    </w:p>
    <w:p w14:paraId="4095F5D1">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（六）未经股东大会同意，不得利用职务便利，为自己或他人谋取本应属于公司的商业机会，自营或者为他人经营与公司同类的业务；</w:t>
      </w:r>
    </w:p>
    <w:p w14:paraId="66EF1073">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（七）不得接受与公司交易的佣金归为己有；</w:t>
      </w:r>
    </w:p>
    <w:p w14:paraId="75C8A738">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（八）不得擅自披露公司秘密；</w:t>
      </w:r>
    </w:p>
    <w:p w14:paraId="38F3646D">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（九）不得利用其关联关系损害公司利益；</w:t>
      </w:r>
    </w:p>
    <w:p w14:paraId="7319E1FA">
      <w:pPr>
        <w:spacing w:line="360" w:lineRule="auto"/>
        <w:ind w:firstLine="0" w:firstLineChars="0"/>
        <w:rPr>
          <w:rFonts w:hint="eastAsia" w:ascii="宋体" w:hAnsi="宋体" w:cs="宋体"/>
          <w:snapToGrid w:val="0"/>
          <w:sz w:val="24"/>
          <w:highlight w:val="none"/>
        </w:rPr>
      </w:pPr>
      <w:r>
        <w:rPr>
          <w:rFonts w:hint="eastAsia" w:ascii="宋体" w:hAnsi="宋体" w:cs="宋体"/>
          <w:snapToGrid w:val="0"/>
          <w:sz w:val="24"/>
          <w:highlight w:val="none"/>
        </w:rPr>
        <w:t>（十）法律、行政法规、部门规章及本章程规定的其他忠实义务。</w:t>
      </w:r>
    </w:p>
    <w:p w14:paraId="0DA71DE1">
      <w:pPr>
        <w:numPr>
          <w:ilvl w:val="0"/>
          <w:numId w:val="0"/>
        </w:num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董事违反本条规定所得的收入，应当归公司所有；给公司造成损失的，应当承担赔偿责任。</w:t>
      </w:r>
    </w:p>
    <w:p w14:paraId="6715F28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董事应当遵守法律、行政法规和本章程，对公司负有下列勤勉义务：</w:t>
      </w:r>
    </w:p>
    <w:p w14:paraId="3E6B34F2">
      <w:pPr>
        <w:numPr>
          <w:ilvl w:val="0"/>
          <w:numId w:val="0"/>
        </w:numPr>
        <w:spacing w:line="360" w:lineRule="auto"/>
        <w:ind w:left="426" w:firstLine="0"/>
        <w:rPr>
          <w:rFonts w:hint="eastAsia" w:ascii="宋体" w:hAnsi="宋体" w:cs="宋体"/>
          <w:snapToGrid w:val="0"/>
          <w:sz w:val="24"/>
          <w:highlight w:val="none"/>
        </w:rPr>
      </w:pPr>
      <w:r>
        <w:rPr>
          <w:rFonts w:hint="eastAsia" w:ascii="宋体" w:hAnsi="宋体" w:cs="宋体"/>
          <w:snapToGrid w:val="0"/>
          <w:sz w:val="24"/>
          <w:highlight w:val="none"/>
        </w:rPr>
        <w:t>（一）应谨慎、认真、勤勉地行使公司赋予的权利，以保证公司的商业行为符合国家法律、行政法规以及国家各项经济政策的要求，商业活动不超过营业执照规定的业务范围；</w:t>
      </w:r>
    </w:p>
    <w:p w14:paraId="4DE0585E">
      <w:pPr>
        <w:numPr>
          <w:ilvl w:val="0"/>
          <w:numId w:val="0"/>
        </w:numPr>
        <w:spacing w:line="360" w:lineRule="auto"/>
        <w:ind w:left="426" w:firstLine="0"/>
        <w:rPr>
          <w:rFonts w:hint="eastAsia" w:ascii="宋体" w:hAnsi="宋体" w:cs="宋体"/>
          <w:snapToGrid w:val="0"/>
          <w:sz w:val="24"/>
          <w:highlight w:val="none"/>
        </w:rPr>
      </w:pPr>
      <w:r>
        <w:rPr>
          <w:rFonts w:hint="eastAsia" w:ascii="宋体" w:hAnsi="宋体" w:cs="宋体"/>
          <w:snapToGrid w:val="0"/>
          <w:sz w:val="24"/>
          <w:highlight w:val="none"/>
        </w:rPr>
        <w:t>（二）应公平对待所有股东；</w:t>
      </w:r>
    </w:p>
    <w:p w14:paraId="2952C3C3">
      <w:pPr>
        <w:numPr>
          <w:ilvl w:val="0"/>
          <w:numId w:val="0"/>
        </w:numPr>
        <w:spacing w:line="360" w:lineRule="auto"/>
        <w:ind w:left="426" w:firstLine="0"/>
        <w:rPr>
          <w:rFonts w:hint="eastAsia" w:ascii="宋体" w:hAnsi="宋体" w:cs="宋体"/>
          <w:snapToGrid w:val="0"/>
          <w:sz w:val="24"/>
          <w:highlight w:val="none"/>
        </w:rPr>
      </w:pPr>
      <w:r>
        <w:rPr>
          <w:rFonts w:hint="eastAsia" w:ascii="宋体" w:hAnsi="宋体" w:cs="宋体"/>
          <w:snapToGrid w:val="0"/>
          <w:sz w:val="24"/>
          <w:highlight w:val="none"/>
        </w:rPr>
        <w:t>（三）及时了解公司业务经营管理状况；</w:t>
      </w:r>
    </w:p>
    <w:p w14:paraId="26D275A0">
      <w:pPr>
        <w:numPr>
          <w:ilvl w:val="0"/>
          <w:numId w:val="0"/>
        </w:numPr>
        <w:spacing w:line="360" w:lineRule="auto"/>
        <w:ind w:left="426" w:firstLine="0"/>
        <w:rPr>
          <w:rFonts w:hint="eastAsia" w:ascii="宋体" w:hAnsi="宋体" w:cs="宋体"/>
          <w:snapToGrid w:val="0"/>
          <w:sz w:val="24"/>
          <w:highlight w:val="none"/>
        </w:rPr>
      </w:pPr>
      <w:r>
        <w:rPr>
          <w:rFonts w:hint="eastAsia" w:ascii="宋体" w:hAnsi="宋体" w:cs="宋体"/>
          <w:snapToGrid w:val="0"/>
          <w:sz w:val="24"/>
          <w:highlight w:val="none"/>
        </w:rPr>
        <w:t>（四）应当对公司定期报告签署书面确认意见。保证公司所披露的信息真实、准确、完整；</w:t>
      </w:r>
    </w:p>
    <w:p w14:paraId="2BC7B8B0">
      <w:pPr>
        <w:numPr>
          <w:ilvl w:val="0"/>
          <w:numId w:val="0"/>
        </w:numPr>
        <w:spacing w:line="360" w:lineRule="auto"/>
        <w:ind w:left="426" w:firstLine="0"/>
        <w:rPr>
          <w:rFonts w:hint="eastAsia" w:ascii="宋体" w:hAnsi="宋体" w:cs="宋体"/>
          <w:snapToGrid w:val="0"/>
          <w:sz w:val="24"/>
          <w:highlight w:val="none"/>
        </w:rPr>
      </w:pPr>
      <w:r>
        <w:rPr>
          <w:rFonts w:hint="eastAsia" w:ascii="宋体" w:hAnsi="宋体" w:cs="宋体"/>
          <w:snapToGrid w:val="0"/>
          <w:sz w:val="24"/>
          <w:highlight w:val="none"/>
        </w:rPr>
        <w:t>（五）应当如实向监事会提供有关情况和资料，不得妨碍监事会或者监事行使职权；</w:t>
      </w:r>
    </w:p>
    <w:p w14:paraId="37612C65">
      <w:pPr>
        <w:numPr>
          <w:ilvl w:val="0"/>
          <w:numId w:val="0"/>
        </w:numPr>
        <w:spacing w:line="360" w:lineRule="auto"/>
        <w:ind w:left="426" w:firstLine="0"/>
        <w:outlineLvl w:val="2"/>
        <w:rPr>
          <w:rFonts w:hint="eastAsia" w:ascii="宋体" w:hAnsi="宋体" w:cs="宋体"/>
          <w:snapToGrid w:val="0"/>
          <w:sz w:val="24"/>
          <w:highlight w:val="none"/>
        </w:rPr>
      </w:pPr>
      <w:r>
        <w:rPr>
          <w:rFonts w:hint="eastAsia" w:ascii="宋体" w:hAnsi="宋体" w:cs="宋体"/>
          <w:snapToGrid w:val="0"/>
          <w:sz w:val="24"/>
          <w:highlight w:val="none"/>
        </w:rPr>
        <w:t>（六）法律、行政法规、部门规章及本章程规定的其他勤勉义务。</w:t>
      </w:r>
    </w:p>
    <w:p w14:paraId="7870834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连续两次未能亲自出席，也不委托其他董事出席董事会会议，视为不能履行职责，董事会应当建议股东大会予以撤换。独立董事连续两次未能亲自出席董事会会议，也不委托其他独立董事代为出席的，董事会应当在该事实发生之日起30日内提议召开股东大会解除该独立董事职务。</w:t>
      </w:r>
    </w:p>
    <w:p w14:paraId="4787659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董事可以在任期届满以前提出辞职。董事辞职应向董事会提交书面辞职报告。董事会将在两日内披露有关情况。</w:t>
      </w:r>
    </w:p>
    <w:p w14:paraId="47FB073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如因董事的辞职导致公司董事会低于法定最低人数时，在改选出的董事就任前，原董事仍应当依照法律、行政法规、部门规章和本章程规定，履行董事职务。</w:t>
      </w:r>
    </w:p>
    <w:p w14:paraId="68FD369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除前款所列情形外，董事辞职自辞职报告送达董事会时生效。</w:t>
      </w:r>
    </w:p>
    <w:p w14:paraId="6A777A38">
      <w:pPr>
        <w:numPr>
          <w:ilvl w:val="0"/>
          <w:numId w:val="7"/>
        </w:numPr>
        <w:spacing w:line="360" w:lineRule="auto"/>
        <w:ind w:left="0"/>
        <w:rPr>
          <w:rFonts w:hint="eastAsia" w:ascii="宋体" w:hAnsi="宋体" w:cs="宋体"/>
          <w:snapToGrid w:val="0"/>
          <w:sz w:val="24"/>
          <w:highlight w:val="none"/>
        </w:rPr>
      </w:pPr>
      <w:r>
        <w:rPr>
          <w:rFonts w:hint="eastAsia" w:ascii="宋体" w:hAnsi="宋体" w:cs="宋体"/>
          <w:snapToGrid w:val="0"/>
          <w:sz w:val="24"/>
          <w:highlight w:val="none"/>
        </w:rPr>
        <w:t xml:space="preserve"> 董事辞职生效或者任期届满，应向董事会办妥所有移交手续，其对公司和股东承担的忠实义务，在任期结束后并不当然解除，在本章程规定的合理期限内仍然有效。</w:t>
      </w:r>
    </w:p>
    <w:p w14:paraId="4F1022EC">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董事任期结束后两年内，不得自营或者为他人经营与本公司同类的业务。</w:t>
      </w:r>
    </w:p>
    <w:p w14:paraId="644E20F3">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董事对公司的商业秘密包括核心技术等负有的公司商业秘密保密的义务在其任职结束后仍然有效，直到该秘密成为公开信息。</w:t>
      </w:r>
    </w:p>
    <w:p w14:paraId="3AFBBACF">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其他忠实义务的持续期间应当根据公平的原则决定，视事件发生与离任之间时间的长短，以及与公司的关系在何种情况和条件下结束而定。</w:t>
      </w:r>
    </w:p>
    <w:p w14:paraId="1AD9DCF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5594708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董事执行公司职务时违反法律、行政法规、部门规章或本章程的规定，给公司造成损失的，应当承担赔偿责任。</w:t>
      </w:r>
    </w:p>
    <w:p w14:paraId="010DC327">
      <w:pPr>
        <w:numPr>
          <w:ilvl w:val="0"/>
          <w:numId w:val="7"/>
        </w:numPr>
        <w:spacing w:line="360" w:lineRule="auto"/>
        <w:rPr>
          <w:rFonts w:hint="eastAsia" w:ascii="宋体" w:hAnsi="宋体" w:cs="宋体"/>
          <w:snapToGrid w:val="0"/>
          <w:sz w:val="24"/>
          <w:szCs w:val="22"/>
          <w:highlight w:val="none"/>
        </w:rPr>
      </w:pPr>
      <w:r>
        <w:rPr>
          <w:rFonts w:hint="eastAsia" w:ascii="宋体" w:hAnsi="宋体" w:cs="宋体"/>
          <w:snapToGrid w:val="0"/>
          <w:sz w:val="24"/>
          <w:szCs w:val="22"/>
          <w:highlight w:val="none"/>
        </w:rPr>
        <w:t>独立董事应按照法律、行政法规及部门规章的有关规定执行。</w:t>
      </w:r>
    </w:p>
    <w:p w14:paraId="6704A4F9">
      <w:pPr>
        <w:pStyle w:val="36"/>
        <w:tabs>
          <w:tab w:val="left" w:pos="1050"/>
          <w:tab w:val="clear" w:pos="1533"/>
        </w:tabs>
        <w:spacing w:before="0" w:after="0" w:line="360" w:lineRule="auto"/>
        <w:ind w:hanging="2"/>
        <w:rPr>
          <w:rFonts w:hint="eastAsia" w:ascii="宋体" w:hAnsi="宋体" w:eastAsia="宋体" w:cs="宋体"/>
          <w:b/>
          <w:snapToGrid w:val="0"/>
          <w:sz w:val="24"/>
          <w:szCs w:val="24"/>
          <w:highlight w:val="none"/>
        </w:rPr>
      </w:pPr>
      <w:bookmarkStart w:id="161" w:name="_Toc24122"/>
      <w:bookmarkStart w:id="162" w:name="_Toc325815152"/>
      <w:bookmarkStart w:id="163" w:name="_Toc5274"/>
      <w:bookmarkStart w:id="164" w:name="_Toc733082036"/>
      <w:bookmarkStart w:id="165" w:name="_Toc203475066"/>
      <w:bookmarkStart w:id="166" w:name="_Toc422141930"/>
      <w:bookmarkStart w:id="167" w:name="_Toc16186"/>
      <w:bookmarkStart w:id="168" w:name="_Toc23843"/>
      <w:bookmarkStart w:id="169" w:name="_Toc15396"/>
      <w:bookmarkStart w:id="170" w:name="_Toc25230"/>
      <w:bookmarkStart w:id="171" w:name="_Toc23868"/>
      <w:r>
        <w:rPr>
          <w:rFonts w:hint="eastAsia" w:ascii="宋体" w:hAnsi="宋体" w:eastAsia="宋体" w:cs="宋体"/>
          <w:b/>
          <w:snapToGrid w:val="0"/>
          <w:sz w:val="24"/>
          <w:szCs w:val="24"/>
          <w:highlight w:val="none"/>
        </w:rPr>
        <w:t>董事会</w:t>
      </w:r>
      <w:bookmarkEnd w:id="161"/>
      <w:bookmarkEnd w:id="162"/>
      <w:bookmarkEnd w:id="163"/>
      <w:bookmarkEnd w:id="164"/>
      <w:bookmarkEnd w:id="165"/>
      <w:bookmarkEnd w:id="166"/>
      <w:bookmarkEnd w:id="167"/>
      <w:bookmarkEnd w:id="168"/>
      <w:bookmarkEnd w:id="169"/>
      <w:bookmarkEnd w:id="170"/>
      <w:bookmarkEnd w:id="171"/>
    </w:p>
    <w:p w14:paraId="4F1C4B8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公司设董事会，对股东大会负责。</w:t>
      </w:r>
    </w:p>
    <w:p w14:paraId="031DE11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设立审计委员会、战略与发展委员会、提名委员会和薪酬与考核委员会等专门委员会。各专门委员会在董事会授权下开展工作，为董事会的决策提供咨询意见，对董事会负责。专门委员会的组成和职能由董事会确定。专门委员会应当向董事会提交工作报告。</w:t>
      </w:r>
    </w:p>
    <w:p w14:paraId="322A5424">
      <w:pPr>
        <w:spacing w:line="360" w:lineRule="auto"/>
        <w:ind w:firstLine="480" w:firstLineChars="200"/>
        <w:rPr>
          <w:rStyle w:val="25"/>
          <w:highlight w:val="none"/>
        </w:rPr>
      </w:pPr>
      <w:r>
        <w:rPr>
          <w:rFonts w:hint="eastAsia" w:ascii="宋体" w:hAnsi="宋体" w:cs="宋体"/>
          <w:snapToGrid w:val="0"/>
          <w:sz w:val="24"/>
          <w:highlight w:val="none"/>
        </w:rPr>
        <w:t>专门委员会成员全部由董事组成，其中审计委员会、提名委员会、薪酬与考核委员会中独立董事应占1/2以上并担任召集人，审计委员会中至少应有一名独立董事是会计专业人士，审计委员会成员应当为不在公司担任高级管理人员的董事，召集人应当为会计专业人士。</w:t>
      </w:r>
    </w:p>
    <w:p w14:paraId="0038EB19">
      <w:pPr>
        <w:spacing w:line="360" w:lineRule="auto"/>
        <w:ind w:firstLine="480" w:firstLineChars="200"/>
        <w:rPr>
          <w:rFonts w:hint="eastAsia" w:ascii="宋体" w:hAnsi="宋体" w:cs="宋体"/>
          <w:snapToGrid w:val="0"/>
          <w:sz w:val="24"/>
          <w:highlight w:val="none"/>
        </w:rPr>
      </w:pPr>
      <w:r>
        <w:rPr>
          <w:rStyle w:val="25"/>
          <w:rFonts w:hint="eastAsia" w:ascii="宋体" w:hAnsi="宋体" w:eastAsia="宋体" w:cs="宋体"/>
          <w:snapToGrid w:val="0"/>
          <w:sz w:val="24"/>
          <w:highlight w:val="none"/>
        </w:rPr>
        <w:t>公司应当建立独立董事专门会议制度，定期或者不定期召开全部由独立董事参加的会议，对规则明确规定的相关事项进行审议，具体规则由公司独立董事工作细则予以明确。独立董事专门会议应当由过半数独立董事共同推举一名独立董事召集和主持；召集人不履职或者不能履职时，两名及以上独立董事可以自行召集并推举一名代表主持。公司应当为独立董事专门会议的召开提供便利和支持。</w:t>
      </w:r>
    </w:p>
    <w:p w14:paraId="6E03A9C5">
      <w:pPr>
        <w:spacing w:line="360" w:lineRule="auto"/>
        <w:ind w:firstLine="408" w:firstLineChars="170"/>
        <w:rPr>
          <w:rFonts w:hint="eastAsia" w:ascii="宋体" w:hAnsi="宋体" w:cs="宋体"/>
          <w:snapToGrid w:val="0"/>
          <w:sz w:val="24"/>
          <w:highlight w:val="none"/>
        </w:rPr>
      </w:pPr>
      <w:r>
        <w:rPr>
          <w:rFonts w:hint="eastAsia" w:ascii="宋体" w:hAnsi="宋体" w:cs="宋体"/>
          <w:snapToGrid w:val="0"/>
          <w:sz w:val="24"/>
          <w:highlight w:val="none"/>
        </w:rPr>
        <w:t>各专门委员会可以聘请外部专业人士提供服务，由此发生的合理费用由公司承担。</w:t>
      </w:r>
    </w:p>
    <w:p w14:paraId="3A3EB3B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公司董事会由</w:t>
      </w:r>
      <w:r>
        <w:rPr>
          <w:rFonts w:hint="eastAsia" w:ascii="宋体" w:hAnsi="宋体" w:cs="宋体"/>
          <w:snapToGrid w:val="0"/>
          <w:sz w:val="24"/>
          <w:highlight w:val="none"/>
          <w:lang w:val="en-US" w:eastAsia="zh-CN"/>
        </w:rPr>
        <w:t>7</w:t>
      </w:r>
      <w:r>
        <w:rPr>
          <w:rFonts w:hint="eastAsia" w:ascii="宋体" w:hAnsi="宋体" w:cs="宋体"/>
          <w:snapToGrid w:val="0"/>
          <w:sz w:val="24"/>
          <w:highlight w:val="none"/>
        </w:rPr>
        <w:t>名董事组成，其中独立董事3名。</w:t>
      </w:r>
    </w:p>
    <w:p w14:paraId="091AFA7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董事会行使下列职权：</w:t>
      </w:r>
    </w:p>
    <w:p w14:paraId="6FA504B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（一）召集股东大会，并向股东大会报告工作；</w:t>
      </w:r>
    </w:p>
    <w:p w14:paraId="0A07871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（二）执行股东大会的决议；</w:t>
      </w:r>
    </w:p>
    <w:p w14:paraId="6622AE6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（三）决定公司的经营计划和投资方案；</w:t>
      </w:r>
    </w:p>
    <w:p w14:paraId="1EE3EC7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（四）制订公司的年度财务预算方案、决算方案；</w:t>
      </w:r>
    </w:p>
    <w:p w14:paraId="7FC78B57">
      <w:pPr>
        <w:spacing w:line="360" w:lineRule="auto"/>
        <w:ind w:firstLine="480" w:firstLineChars="200"/>
        <w:rPr>
          <w:rFonts w:hint="eastAsia" w:ascii="宋体" w:hAnsi="宋体" w:cs="宋体"/>
          <w:snapToGrid w:val="0"/>
          <w:sz w:val="24"/>
          <w:highlight w:val="none"/>
        </w:rPr>
      </w:pPr>
      <w:bookmarkStart w:id="172" w:name="（五）制订公司的利润分配方案和弥补亏损方案；"/>
      <w:bookmarkEnd w:id="172"/>
      <w:r>
        <w:rPr>
          <w:rFonts w:hint="eastAsia" w:ascii="宋体" w:hAnsi="宋体" w:cs="宋体"/>
          <w:snapToGrid w:val="0"/>
          <w:sz w:val="24"/>
          <w:highlight w:val="none"/>
        </w:rPr>
        <w:t>（五）制订公司的利润分配方案和弥补亏损方案；</w:t>
      </w:r>
    </w:p>
    <w:p w14:paraId="4D7FD2E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（六）制订公司增加或者减少注册资本、发行债券或其他证券及上市方案；</w:t>
      </w:r>
    </w:p>
    <w:p w14:paraId="0B8E744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（七）拟订公司重大收购、收购本公司股票或者合并、分立、解散及变更公司形式的方案；</w:t>
      </w:r>
    </w:p>
    <w:p w14:paraId="3C7D2E7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（八）在股东大会授权范围内，决定公司对外投资、收购出售资产、资产抵押、对外担保事项、委托理财、关联交易、对外捐赠等事项；</w:t>
      </w:r>
    </w:p>
    <w:p w14:paraId="58DF8FEA">
      <w:pPr>
        <w:spacing w:line="360" w:lineRule="auto"/>
        <w:ind w:firstLine="480" w:firstLineChars="200"/>
        <w:outlineLvl w:val="2"/>
        <w:rPr>
          <w:rFonts w:hint="eastAsia" w:ascii="宋体" w:hAnsi="宋体" w:cs="宋体"/>
          <w:snapToGrid w:val="0"/>
          <w:sz w:val="24"/>
          <w:highlight w:val="none"/>
        </w:rPr>
      </w:pPr>
      <w:bookmarkStart w:id="173" w:name="（十）决定公司内部管理机构的设置；"/>
      <w:bookmarkEnd w:id="173"/>
      <w:r>
        <w:rPr>
          <w:rFonts w:hint="eastAsia" w:ascii="宋体" w:hAnsi="宋体" w:cs="宋体"/>
          <w:snapToGrid w:val="0"/>
          <w:sz w:val="24"/>
          <w:highlight w:val="none"/>
        </w:rPr>
        <w:t>（九）决定公司内部管理机构的设置；</w:t>
      </w:r>
    </w:p>
    <w:p w14:paraId="4EFCC18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（十）决定聘任或</w:t>
      </w:r>
      <w:r>
        <w:rPr>
          <w:rFonts w:hint="eastAsia" w:ascii="宋体" w:hAnsi="宋体" w:cs="宋体"/>
          <w:snapToGrid w:val="0"/>
          <w:sz w:val="24"/>
          <w:szCs w:val="22"/>
          <w:highlight w:val="none"/>
        </w:rPr>
        <w:t>者解聘公司总经理、董事会秘书及其他高级管理人员，并决定其报酬事项和奖惩事项；</w:t>
      </w:r>
      <w:r>
        <w:rPr>
          <w:rFonts w:hint="eastAsia" w:ascii="宋体" w:hAnsi="宋体" w:cs="宋体"/>
          <w:snapToGrid w:val="0"/>
          <w:sz w:val="24"/>
          <w:highlight w:val="none"/>
        </w:rPr>
        <w:t>根据总经理的提名，决定聘任或者解聘公司副总经理、财务负责人等高级管理人员，并决定其报酬事项和奖惩事项；</w:t>
      </w:r>
    </w:p>
    <w:p w14:paraId="3A21EAF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（十一）制订公司的基本管理制度；</w:t>
      </w:r>
    </w:p>
    <w:p w14:paraId="23D87FF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（十二）制订本章程的修改方案；</w:t>
      </w:r>
    </w:p>
    <w:p w14:paraId="57EB407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（十三）管理公司信息披露事项；</w:t>
      </w:r>
    </w:p>
    <w:p w14:paraId="3962A6D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（十四）向股东大会提请聘请或更换为公司审计的会计师事务所；</w:t>
      </w:r>
    </w:p>
    <w:p w14:paraId="69F8E3DF">
      <w:pPr>
        <w:spacing w:line="360" w:lineRule="auto"/>
        <w:ind w:firstLine="480" w:firstLineChars="200"/>
        <w:rPr>
          <w:rFonts w:hint="eastAsia" w:ascii="宋体" w:hAnsi="宋体" w:cs="宋体"/>
          <w:snapToGrid w:val="0"/>
          <w:sz w:val="24"/>
          <w:highlight w:val="none"/>
        </w:rPr>
      </w:pPr>
      <w:bookmarkStart w:id="174" w:name="（十六）听取公司总经理（总裁）的工作汇报并检查总经理（总裁）的工作；"/>
      <w:bookmarkEnd w:id="174"/>
      <w:r>
        <w:rPr>
          <w:rFonts w:hint="eastAsia" w:ascii="宋体" w:hAnsi="宋体" w:cs="宋体"/>
          <w:snapToGrid w:val="0"/>
          <w:sz w:val="24"/>
          <w:highlight w:val="none"/>
        </w:rPr>
        <w:t>（十五）听取公司总经理的工作汇报并检查总经理的工作；</w:t>
      </w:r>
    </w:p>
    <w:p w14:paraId="2DED16C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（十六）法律、行政法规、部门规章或本章程授予的其他职权。</w:t>
      </w:r>
    </w:p>
    <w:p w14:paraId="13BA90B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超过股东大会授权范围的事项，应当提交股东大会审议。</w:t>
      </w:r>
    </w:p>
    <w:p w14:paraId="681ACA6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公司董事会应当就注册会计师对公司财务报告出具的非标准审计意见向股东大会作出说明。</w:t>
      </w:r>
    </w:p>
    <w:p w14:paraId="2740C10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董事会制定董事会议事规则，以确保董事会落实股东大会决议，提高工作效率，保证科学决策。</w:t>
      </w:r>
    </w:p>
    <w:p w14:paraId="2AC0DE2D">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董事会议事规则应作为章程的附件，由董事会拟定，股东大会批准。</w:t>
      </w:r>
    </w:p>
    <w:p w14:paraId="1D6FE61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应当确定对外投资、收购出售资产、资产抵押、对外担保事项、委托理财、关联交易、对外捐赠等权限，建立严格的审查和决策程序；重大投资项目应当组织有关专家、专业人员进行评审，并报股东大会批准。董事会的具体权限如下：</w:t>
      </w:r>
    </w:p>
    <w:p w14:paraId="36C3FFCF">
      <w:pPr>
        <w:pStyle w:val="30"/>
        <w:spacing w:line="360" w:lineRule="auto"/>
        <w:ind w:left="426" w:firstLine="0" w:firstLineChars="0"/>
        <w:outlineLvl w:val="2"/>
        <w:rPr>
          <w:rFonts w:hint="eastAsia" w:ascii="宋体" w:hAnsi="宋体" w:cs="宋体"/>
          <w:snapToGrid w:val="0"/>
          <w:sz w:val="24"/>
          <w:highlight w:val="none"/>
        </w:rPr>
      </w:pPr>
      <w:r>
        <w:rPr>
          <w:rFonts w:hint="eastAsia" w:ascii="宋体" w:hAnsi="宋体" w:cs="宋体"/>
          <w:snapToGrid w:val="0"/>
          <w:sz w:val="24"/>
          <w:highlight w:val="none"/>
        </w:rPr>
        <w:t>（一）审议公司发生的交易达到下列标准之一的事项；</w:t>
      </w:r>
    </w:p>
    <w:p w14:paraId="25737B9E">
      <w:pPr>
        <w:pStyle w:val="30"/>
        <w:spacing w:line="360" w:lineRule="auto"/>
        <w:ind w:left="6" w:firstLine="513" w:firstLineChars="214"/>
        <w:rPr>
          <w:rFonts w:hint="eastAsia" w:ascii="宋体" w:hAnsi="宋体" w:cs="宋体"/>
          <w:snapToGrid w:val="0"/>
          <w:sz w:val="24"/>
          <w:highlight w:val="none"/>
        </w:rPr>
      </w:pPr>
      <w:r>
        <w:rPr>
          <w:rFonts w:hint="eastAsia" w:ascii="宋体" w:hAnsi="宋体" w:cs="宋体"/>
          <w:snapToGrid w:val="0"/>
          <w:sz w:val="24"/>
          <w:highlight w:val="none"/>
        </w:rPr>
        <w:t>1、交易涉及的资产总额占公司最近一期经审计总资产的10%以上，该交易涉及的资产总额同时存在账面值和评估值的，以高者为准；</w:t>
      </w:r>
    </w:p>
    <w:p w14:paraId="3F4AF517">
      <w:pPr>
        <w:pStyle w:val="30"/>
        <w:spacing w:line="360" w:lineRule="auto"/>
        <w:ind w:left="6" w:firstLine="513" w:firstLineChars="214"/>
        <w:rPr>
          <w:rFonts w:hint="eastAsia" w:ascii="宋体" w:hAnsi="宋体" w:cs="宋体"/>
          <w:snapToGrid w:val="0"/>
          <w:sz w:val="24"/>
          <w:highlight w:val="none"/>
        </w:rPr>
      </w:pPr>
      <w:r>
        <w:rPr>
          <w:rFonts w:hint="eastAsia" w:ascii="宋体" w:hAnsi="宋体" w:cs="宋体"/>
          <w:snapToGrid w:val="0"/>
          <w:sz w:val="24"/>
          <w:highlight w:val="none"/>
        </w:rPr>
        <w:t>2、交易标的（如股权）在最近一个会计年度相关的营业收入占公司最近一个会计年度经审计营业收入的10%以上，且绝对金额超过1,000万元；</w:t>
      </w:r>
    </w:p>
    <w:p w14:paraId="7AD5C15F">
      <w:pPr>
        <w:pStyle w:val="30"/>
        <w:spacing w:line="360" w:lineRule="auto"/>
        <w:ind w:left="6" w:firstLine="513" w:firstLineChars="214"/>
        <w:rPr>
          <w:rFonts w:hint="eastAsia" w:ascii="宋体" w:hAnsi="宋体" w:cs="宋体"/>
          <w:snapToGrid w:val="0"/>
          <w:sz w:val="24"/>
          <w:highlight w:val="none"/>
        </w:rPr>
      </w:pPr>
      <w:r>
        <w:rPr>
          <w:rFonts w:hint="eastAsia" w:ascii="宋体" w:hAnsi="宋体" w:cs="宋体"/>
          <w:snapToGrid w:val="0"/>
          <w:sz w:val="24"/>
          <w:highlight w:val="none"/>
        </w:rPr>
        <w:t>3、交易标的（如股权）在最近一个会计年度相关的净利润占公司最近一个会计年度经审计净利润的10%以上，且绝对金额超过100万元；</w:t>
      </w:r>
    </w:p>
    <w:p w14:paraId="2858EB5A">
      <w:pPr>
        <w:pStyle w:val="30"/>
        <w:spacing w:line="360" w:lineRule="auto"/>
        <w:ind w:left="6" w:firstLine="513" w:firstLineChars="214"/>
        <w:rPr>
          <w:rFonts w:hint="eastAsia" w:ascii="宋体" w:hAnsi="宋体" w:cs="宋体"/>
          <w:snapToGrid w:val="0"/>
          <w:sz w:val="24"/>
          <w:highlight w:val="none"/>
        </w:rPr>
      </w:pPr>
      <w:r>
        <w:rPr>
          <w:rFonts w:hint="eastAsia" w:ascii="宋体" w:hAnsi="宋体" w:cs="宋体"/>
          <w:snapToGrid w:val="0"/>
          <w:sz w:val="24"/>
          <w:highlight w:val="none"/>
        </w:rPr>
        <w:t>4、交易的成交金额（含承担债务和费用）占公司最近一期经审计净资产的10%以上，且绝对金额超过1,000万元；</w:t>
      </w:r>
    </w:p>
    <w:p w14:paraId="105EB67F">
      <w:pPr>
        <w:pStyle w:val="30"/>
        <w:spacing w:line="360" w:lineRule="auto"/>
        <w:ind w:left="6" w:firstLine="513" w:firstLineChars="214"/>
        <w:rPr>
          <w:rFonts w:hint="eastAsia" w:ascii="宋体" w:hAnsi="宋体" w:cs="宋体"/>
          <w:snapToGrid w:val="0"/>
          <w:sz w:val="24"/>
          <w:highlight w:val="none"/>
        </w:rPr>
      </w:pPr>
      <w:r>
        <w:rPr>
          <w:rFonts w:hint="eastAsia" w:ascii="宋体" w:hAnsi="宋体" w:cs="宋体"/>
          <w:snapToGrid w:val="0"/>
          <w:sz w:val="24"/>
          <w:highlight w:val="none"/>
        </w:rPr>
        <w:t>5、交易产生的利润占公司最近一个会计年度经审计净利润的10%以上，且绝对金额超过100万元。</w:t>
      </w:r>
    </w:p>
    <w:p w14:paraId="5494E0AF">
      <w:pPr>
        <w:pStyle w:val="30"/>
        <w:spacing w:line="360" w:lineRule="auto"/>
        <w:ind w:left="6" w:firstLine="513" w:firstLineChars="214"/>
        <w:rPr>
          <w:rFonts w:hint="eastAsia" w:ascii="宋体" w:hAnsi="宋体" w:cs="宋体"/>
          <w:snapToGrid w:val="0"/>
          <w:sz w:val="24"/>
          <w:highlight w:val="none"/>
        </w:rPr>
      </w:pPr>
      <w:r>
        <w:rPr>
          <w:rFonts w:hint="eastAsia" w:ascii="宋体" w:hAnsi="宋体" w:cs="宋体"/>
          <w:snapToGrid w:val="0"/>
          <w:sz w:val="24"/>
          <w:highlight w:val="none"/>
        </w:rPr>
        <w:t>上述指标计算中涉及的数据如为负值，取其绝对值计算；</w:t>
      </w:r>
    </w:p>
    <w:p w14:paraId="63FADEBF">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若上述交易涉及的金额或按照连续12个月累计计算的原则符合上述标准，则属于董事会的审批权限，如达到本章程第四十二条规定需股东大会审议的，董事会审议通过后还需提交股东大会审议通过。</w:t>
      </w:r>
    </w:p>
    <w:p w14:paraId="1F84FC4A">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前款中公司净资产是指最近一期经公司聘请的具有证券业从业资格的会计师事务所出具的公司年度或中期财务审计报告确定的资产净值。</w:t>
      </w:r>
    </w:p>
    <w:p w14:paraId="7E890240">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（二）本章程第四十三条规定股东大会权限以外的对外担保，应当经公司董事会审议通过。董事会审议权限内的对外担保事项时，必须取得出席董事会会议的三分之二以上董事同意</w:t>
      </w:r>
    </w:p>
    <w:p w14:paraId="030A4D88">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（三）审议公司与关联人（包括关联自然人和关联法人）发生的关联交易；</w:t>
      </w:r>
    </w:p>
    <w:p w14:paraId="188D6C59">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1、公司与关联自然人发生的交易金额在30万元以上的关联交易，应当经董事会审议后及时披露；</w:t>
      </w:r>
    </w:p>
    <w:p w14:paraId="1FAF2083">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2、公司与关联法人发生的交易金额在300万元以上，且占公司最近一期经审计净资产绝对值0.5%以上的关联交易，应当经董事会审议后及时披露；</w:t>
      </w:r>
    </w:p>
    <w:p w14:paraId="53AE8EA2">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highlight w:val="none"/>
        </w:rPr>
        <w:t>3、公司为关联人提供担保的，不论数额大小，均应当在董事会审议通过后提交股东大会审议。</w:t>
      </w:r>
    </w:p>
    <w:p w14:paraId="5A139173">
      <w:pPr>
        <w:pStyle w:val="30"/>
        <w:spacing w:line="360" w:lineRule="auto"/>
        <w:ind w:firstLine="518" w:firstLineChars="216"/>
        <w:outlineLvl w:val="2"/>
        <w:rPr>
          <w:rFonts w:hint="eastAsia" w:ascii="宋体" w:hAnsi="宋体" w:cs="宋体"/>
          <w:snapToGrid w:val="0"/>
          <w:sz w:val="24"/>
          <w:szCs w:val="22"/>
          <w:highlight w:val="none"/>
          <w:lang w:bidi="ar"/>
        </w:rPr>
      </w:pPr>
      <w:r>
        <w:rPr>
          <w:rFonts w:hint="eastAsia" w:ascii="宋体" w:hAnsi="宋体" w:cs="宋体"/>
          <w:snapToGrid w:val="0"/>
          <w:sz w:val="24"/>
          <w:szCs w:val="22"/>
          <w:highlight w:val="none"/>
          <w:lang w:bidi="ar"/>
        </w:rPr>
        <w:t>（四）</w:t>
      </w:r>
      <w:r>
        <w:rPr>
          <w:rFonts w:hint="eastAsia" w:ascii="宋体" w:hAnsi="宋体" w:cs="宋体"/>
          <w:snapToGrid w:val="0"/>
          <w:sz w:val="24"/>
          <w:highlight w:val="none"/>
        </w:rPr>
        <w:t>审议公司</w:t>
      </w:r>
      <w:r>
        <w:rPr>
          <w:rFonts w:hint="eastAsia" w:ascii="宋体" w:hAnsi="宋体" w:cs="宋体"/>
          <w:snapToGrid w:val="0"/>
          <w:sz w:val="24"/>
          <w:szCs w:val="22"/>
          <w:highlight w:val="none"/>
          <w:lang w:bidi="ar"/>
        </w:rPr>
        <w:t>提供财务资助事项：</w:t>
      </w:r>
    </w:p>
    <w:p w14:paraId="78A32445">
      <w:pPr>
        <w:pStyle w:val="30"/>
        <w:spacing w:line="360" w:lineRule="auto"/>
        <w:ind w:firstLine="518" w:firstLineChars="216"/>
        <w:rPr>
          <w:rFonts w:hint="eastAsia" w:ascii="宋体" w:hAnsi="宋体" w:cs="宋体"/>
          <w:snapToGrid w:val="0"/>
          <w:sz w:val="24"/>
          <w:highlight w:val="none"/>
        </w:rPr>
      </w:pPr>
      <w:r>
        <w:rPr>
          <w:rFonts w:hint="eastAsia" w:ascii="宋体" w:hAnsi="宋体" w:cs="宋体"/>
          <w:snapToGrid w:val="0"/>
          <w:sz w:val="24"/>
          <w:szCs w:val="22"/>
          <w:highlight w:val="none"/>
          <w:lang w:bidi="ar"/>
        </w:rPr>
        <w:t>公司提供财务资助，除应当经全体董事的过半数审议通过，还应当经出席董事会会议的三分之二以上的非关联董事审议同意并作出决议，并及时对外披露。法律、行政法规、部门规章及本章程规定须提交股东大会审议的，应在董事会审议后进一步提交股东大会审议。</w:t>
      </w:r>
    </w:p>
    <w:p w14:paraId="6C4383D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董事会设董事长一人，</w:t>
      </w:r>
      <w:r>
        <w:rPr>
          <w:rFonts w:hint="eastAsia" w:ascii="宋体" w:hAnsi="宋体" w:cs="宋体"/>
          <w:b w:val="0"/>
          <w:bCs w:val="0"/>
          <w:snapToGrid w:val="0"/>
          <w:color w:val="000000"/>
          <w:sz w:val="24"/>
          <w:highlight w:val="none"/>
        </w:rPr>
        <w:t>不设副董事长</w:t>
      </w:r>
      <w:r>
        <w:rPr>
          <w:rFonts w:hint="eastAsia" w:ascii="宋体" w:hAnsi="宋体" w:cs="宋体"/>
          <w:snapToGrid w:val="0"/>
          <w:sz w:val="24"/>
          <w:highlight w:val="none"/>
        </w:rPr>
        <w:t>。董事长由董事会以全体董事的过半数选举产生。</w:t>
      </w:r>
    </w:p>
    <w:p w14:paraId="7BA2ED3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董事长行使下列职权：</w:t>
      </w:r>
      <w:r>
        <w:rPr>
          <w:rFonts w:hint="eastAsia" w:ascii="宋体" w:hAnsi="宋体" w:cs="宋体"/>
          <w:snapToGrid w:val="0"/>
          <w:sz w:val="24"/>
          <w:highlight w:val="none"/>
        </w:rPr>
        <w:tab/>
      </w:r>
    </w:p>
    <w:p w14:paraId="1DC7863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（一）主持股东大会和召集、主持董事会会议；</w:t>
      </w:r>
    </w:p>
    <w:p w14:paraId="443EE6B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（二）督促、检查董事会决议的执行；</w:t>
      </w:r>
    </w:p>
    <w:p w14:paraId="3568C87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（三）董事会授予的其他职权。</w:t>
      </w:r>
    </w:p>
    <w:p w14:paraId="3A159A1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董事长不能履行职务或者不履行职务的，由半数以上董事共同推举一名董事履行董事长职务。</w:t>
      </w:r>
    </w:p>
    <w:p w14:paraId="62A4ADE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董事会每年度至少召开两次会议，由董事长召集，于会议召开10日以前书面通知全体董事和监事。</w:t>
      </w:r>
    </w:p>
    <w:p w14:paraId="4CACE48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代表1/10以上表决权的股东、1/3以上董事或者监事会，可以提议召开董事会临时会议。董事长应当自接到提议后10日内，召集和主持董事会会议。</w:t>
      </w:r>
    </w:p>
    <w:p w14:paraId="40E48FE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董事会召开临时董事会会议应以书面方式（包括专人送达、邮寄、传真、电子邮件等）或电话在会议召开3日前通知全体董事，但在特殊紧急情况下以现场会议、电话或传真等方式召开临时董事会会议的除外。</w:t>
      </w:r>
    </w:p>
    <w:p w14:paraId="6E76DDC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董事会会议通知包括以下内容：</w:t>
      </w:r>
    </w:p>
    <w:p w14:paraId="456E2F5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（一）会议日期和地点；</w:t>
      </w:r>
    </w:p>
    <w:p w14:paraId="083B3D4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（二）会议期限；</w:t>
      </w:r>
    </w:p>
    <w:p w14:paraId="2D1E51F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（三）事由及议题；</w:t>
      </w:r>
    </w:p>
    <w:p w14:paraId="6B50623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（四）发出通知的日期。</w:t>
      </w:r>
    </w:p>
    <w:p w14:paraId="714A039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除本章程另有规定外，董事会会议应有过半数的董事出席方可举行。董事会作出决议，必须经全体董事的过半数通过。</w:t>
      </w:r>
    </w:p>
    <w:p w14:paraId="1827D75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董事会决议的表决，实行一人一票。</w:t>
      </w:r>
    </w:p>
    <w:p w14:paraId="7477E45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14:paraId="177AAA1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董事会决议采取书面记名投票方式表决。</w:t>
      </w:r>
    </w:p>
    <w:p w14:paraId="1C16C7D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董事会临时会议在保障董事充分表达意见的前提下，可以用电话会议、视频会议、传真、数据电文、信函等进行并作出决议，并由参会董事签字。</w:t>
      </w:r>
    </w:p>
    <w:p w14:paraId="76032F0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56645E8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董事会应当对会议所议事项的决定做成会议记录，出席会议的董事、董事会秘书和记录人员应当在会议记录上签名。</w:t>
      </w:r>
    </w:p>
    <w:p w14:paraId="3888922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董事会会议记录作为公司档案保存，保存期限不少于10年。</w:t>
      </w:r>
    </w:p>
    <w:p w14:paraId="3CFF0F2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董事会会议记录包括以下内容：</w:t>
      </w:r>
    </w:p>
    <w:p w14:paraId="46572E51">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（一）会议召开的日期、地点和召集人姓名；</w:t>
      </w:r>
    </w:p>
    <w:p w14:paraId="5DE02C2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（二）出席董事的姓名以及受他人委托出席董事会的董事（代理人）姓名；</w:t>
      </w:r>
    </w:p>
    <w:p w14:paraId="7A93F4A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（三）会议议程；</w:t>
      </w:r>
    </w:p>
    <w:p w14:paraId="1F0C7A4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（四）董事发言要点；</w:t>
      </w:r>
    </w:p>
    <w:p w14:paraId="3E78FD6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（五）每一决议事项的表决方式和结果（表决结果应载明赞成、反对、弃权或回避的票数）。</w:t>
      </w:r>
    </w:p>
    <w:p w14:paraId="7D0000F9">
      <w:pPr>
        <w:pStyle w:val="36"/>
        <w:tabs>
          <w:tab w:val="left" w:pos="1050"/>
          <w:tab w:val="clear" w:pos="1533"/>
        </w:tabs>
        <w:spacing w:before="0" w:after="0" w:line="360" w:lineRule="auto"/>
        <w:ind w:hanging="2"/>
        <w:rPr>
          <w:rFonts w:hint="eastAsia" w:ascii="宋体" w:hAnsi="宋体" w:eastAsia="宋体" w:cs="宋体"/>
          <w:b/>
          <w:snapToGrid w:val="0"/>
          <w:sz w:val="24"/>
          <w:szCs w:val="24"/>
          <w:highlight w:val="none"/>
        </w:rPr>
      </w:pPr>
      <w:bookmarkStart w:id="175" w:name="_Toc3939"/>
      <w:bookmarkStart w:id="176" w:name="_Toc19350"/>
      <w:bookmarkStart w:id="177" w:name="_Toc12286"/>
      <w:bookmarkStart w:id="178" w:name="_Toc11880"/>
      <w:bookmarkStart w:id="179" w:name="_Toc796096213"/>
      <w:bookmarkStart w:id="180" w:name="_Toc11040"/>
      <w:bookmarkStart w:id="181" w:name="_Toc29475"/>
      <w:r>
        <w:rPr>
          <w:rFonts w:hint="eastAsia" w:ascii="宋体" w:hAnsi="宋体" w:eastAsia="宋体" w:cs="宋体"/>
          <w:b/>
          <w:snapToGrid w:val="0"/>
          <w:sz w:val="24"/>
          <w:szCs w:val="24"/>
          <w:highlight w:val="none"/>
        </w:rPr>
        <w:t>独立董事</w:t>
      </w:r>
      <w:bookmarkEnd w:id="175"/>
      <w:bookmarkEnd w:id="176"/>
      <w:bookmarkEnd w:id="177"/>
      <w:bookmarkEnd w:id="178"/>
      <w:bookmarkEnd w:id="179"/>
      <w:bookmarkEnd w:id="180"/>
      <w:bookmarkEnd w:id="181"/>
    </w:p>
    <w:p w14:paraId="27A8232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公司建立独立董事制度，独立董事人数不少于董事会人数的1/3，其中至少有一名会计专业人士。</w:t>
      </w:r>
    </w:p>
    <w:p w14:paraId="54D0BF8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独立董事对公司及全体股东负有忠实与勤勉义务。独立董事应当按照相关法律法规、规范性文件和本章程的要求，认真履行职责，在董事会中发挥参与决策、监督制衡、专业咨询作用，维护公司整体利益，保护中小股东合法权益。</w:t>
      </w:r>
    </w:p>
    <w:p w14:paraId="4B8BEC12">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独立董事应当独立公正地履行职责，不受公司主要股东、实际控制人或者其他与公司存在利害关系的单位或个人的影响。</w:t>
      </w:r>
    </w:p>
    <w:p w14:paraId="7131002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担任独立董事应当符合下列基本条件：</w:t>
      </w:r>
    </w:p>
    <w:p w14:paraId="52245E57">
      <w:pPr>
        <w:numPr>
          <w:ilvl w:val="0"/>
          <w:numId w:val="0"/>
        </w:numPr>
        <w:tabs>
          <w:tab w:val="left" w:pos="1605"/>
        </w:tabs>
        <w:spacing w:line="360" w:lineRule="auto"/>
        <w:ind w:left="-96"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（一）根据法律、行政法规和其他有关规定，具备担任上市公司董事的资格；</w:t>
      </w:r>
    </w:p>
    <w:p w14:paraId="05EACC54">
      <w:pPr>
        <w:numPr>
          <w:ilvl w:val="0"/>
          <w:numId w:val="0"/>
        </w:numPr>
        <w:tabs>
          <w:tab w:val="left" w:pos="1605"/>
        </w:tabs>
        <w:spacing w:line="360" w:lineRule="auto"/>
        <w:ind w:left="-96"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（二）符合《上市公司独立董事管理办法》第六条规定的独立性要求；</w:t>
      </w:r>
    </w:p>
    <w:p w14:paraId="2612F576">
      <w:pPr>
        <w:numPr>
          <w:ilvl w:val="0"/>
          <w:numId w:val="0"/>
        </w:numPr>
        <w:tabs>
          <w:tab w:val="left" w:pos="1605"/>
        </w:tabs>
        <w:spacing w:line="360" w:lineRule="auto"/>
        <w:ind w:left="-96"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（三）具备上市公司运作的基本知识，熟悉相关法律法规和规则；</w:t>
      </w:r>
    </w:p>
    <w:p w14:paraId="2A986B1F">
      <w:pPr>
        <w:numPr>
          <w:ilvl w:val="0"/>
          <w:numId w:val="0"/>
        </w:numPr>
        <w:tabs>
          <w:tab w:val="left" w:pos="1605"/>
        </w:tabs>
        <w:spacing w:line="360" w:lineRule="auto"/>
        <w:ind w:left="-96"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（四）具有五年以上履行独立董事职责所必需的法律、会计或者经济等工作经验；</w:t>
      </w:r>
    </w:p>
    <w:p w14:paraId="2238DEA6">
      <w:pPr>
        <w:numPr>
          <w:ilvl w:val="0"/>
          <w:numId w:val="0"/>
        </w:numPr>
        <w:tabs>
          <w:tab w:val="left" w:pos="1605"/>
        </w:tabs>
        <w:spacing w:line="360" w:lineRule="auto"/>
        <w:ind w:left="-96"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（五）具有良好的个人品德，不存在重大失信等不良记录；</w:t>
      </w:r>
    </w:p>
    <w:p w14:paraId="1FBB012E">
      <w:pPr>
        <w:spacing w:line="360" w:lineRule="auto"/>
        <w:ind w:left="-96" w:firstLine="480"/>
        <w:rPr>
          <w:rFonts w:hint="eastAsia" w:ascii="宋体" w:hAnsi="宋体" w:cs="宋体"/>
          <w:snapToGrid w:val="0"/>
          <w:sz w:val="24"/>
          <w:highlight w:val="none"/>
        </w:rPr>
      </w:pPr>
      <w:r>
        <w:rPr>
          <w:rFonts w:hint="eastAsia" w:ascii="宋体" w:hAnsi="宋体" w:cs="宋体"/>
          <w:snapToGrid w:val="0"/>
          <w:sz w:val="24"/>
          <w:highlight w:val="none"/>
        </w:rPr>
        <w:t>（六）法律、行政法规、中国证监会规定、证券交易所业务规则和本章程规定的其他条件。</w:t>
      </w:r>
    </w:p>
    <w:p w14:paraId="128117C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独立董事每届任期与公司其他董事任期相同，任期届满，连选可以连任，但是连任时间不得超过6年。 </w:t>
      </w:r>
    </w:p>
    <w:p w14:paraId="29D1207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独立董事在任期届满前可以提出辞职。独立董事辞职应当向董事会提交书面辞职报告，对任何与其辞职有关或者其认为有必要引起股东和债权人注意的情况进行说明。公司应当对独立董事辞职的原因及关注事项予以披露。</w:t>
      </w:r>
    </w:p>
    <w:p w14:paraId="50EBB39F">
      <w:pPr>
        <w:numPr>
          <w:ilvl w:val="0"/>
          <w:numId w:val="0"/>
        </w:numPr>
        <w:tabs>
          <w:tab w:val="left" w:pos="1605"/>
        </w:tabs>
        <w:spacing w:line="360" w:lineRule="auto"/>
        <w:ind w:left="-96" w:firstLine="480" w:firstLineChars="200"/>
        <w:rPr>
          <w:rFonts w:hint="eastAsia" w:ascii="宋体" w:hAnsi="宋体" w:cs="宋体"/>
          <w:snapToGrid w:val="0"/>
          <w:sz w:val="24"/>
          <w:highlight w:val="none"/>
        </w:rPr>
      </w:pPr>
      <w:r>
        <w:rPr>
          <w:rFonts w:hint="eastAsia" w:ascii="宋体" w:hAnsi="宋体" w:cs="宋体"/>
          <w:snapToGrid w:val="0"/>
          <w:sz w:val="24"/>
          <w:highlight w:val="none"/>
        </w:rPr>
        <w:t>独立董事辞职将导致董事会或者其专门委员会中独立董事所占的比例不符合《上市公司独立董事管理办法》或者本章程的规定，或者独立董事中欠缺会计专业人士的，拟辞职的独立董事应当继续履行职责至新任独立董事产生之日。公司应当自独立董事提出辞职之日起六十日内完成补选。</w:t>
      </w:r>
    </w:p>
    <w:p w14:paraId="3EF31BB1">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182" w:name="_Toc27262"/>
      <w:bookmarkStart w:id="183" w:name="_Toc13577"/>
      <w:bookmarkStart w:id="184" w:name="_Toc422141931"/>
      <w:bookmarkStart w:id="185" w:name="_Toc203475067"/>
      <w:bookmarkStart w:id="186" w:name="_Toc12429"/>
      <w:bookmarkStart w:id="187" w:name="_Toc325815153"/>
      <w:bookmarkStart w:id="188" w:name="_Toc13951"/>
      <w:bookmarkStart w:id="189" w:name="_Toc23482"/>
      <w:bookmarkStart w:id="190" w:name="_Toc30462"/>
      <w:bookmarkStart w:id="191" w:name="_Toc1165931081"/>
      <w:bookmarkStart w:id="192" w:name="_Toc9933"/>
      <w:r>
        <w:rPr>
          <w:rFonts w:hint="eastAsia" w:ascii="宋体" w:hAnsi="宋体" w:eastAsia="宋体" w:cs="宋体"/>
          <w:b/>
          <w:kern w:val="0"/>
          <w:sz w:val="30"/>
          <w:szCs w:val="30"/>
          <w:highlight w:val="none"/>
        </w:rPr>
        <w:t>第六章  总经理及其他高级管理人员</w:t>
      </w:r>
      <w:bookmarkEnd w:id="182"/>
      <w:bookmarkEnd w:id="183"/>
      <w:bookmarkEnd w:id="184"/>
      <w:bookmarkEnd w:id="185"/>
      <w:bookmarkEnd w:id="186"/>
      <w:bookmarkEnd w:id="187"/>
      <w:bookmarkEnd w:id="188"/>
      <w:bookmarkEnd w:id="189"/>
      <w:bookmarkEnd w:id="190"/>
      <w:bookmarkEnd w:id="191"/>
      <w:bookmarkEnd w:id="192"/>
    </w:p>
    <w:p w14:paraId="1CDD581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公司设总经理一名，由董事会提名，董事会聘任或解聘。</w:t>
      </w:r>
    </w:p>
    <w:p w14:paraId="5D02305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公司设副总经理若干名，由总经理提名，董事会聘任或解聘。</w:t>
      </w:r>
    </w:p>
    <w:p w14:paraId="487CED8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公司总经理、副总经理、财务总监、董事会秘书为公司高级管理人员。</w:t>
      </w:r>
    </w:p>
    <w:p w14:paraId="374ACD2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本章程第九十</w:t>
      </w:r>
      <w:r>
        <w:rPr>
          <w:rFonts w:hint="eastAsia" w:ascii="宋体" w:hAnsi="宋体" w:cs="宋体"/>
          <w:snapToGrid w:val="0"/>
          <w:sz w:val="24"/>
          <w:highlight w:val="none"/>
          <w:lang w:val="en-US" w:eastAsia="zh-Hans"/>
        </w:rPr>
        <w:t>七</w:t>
      </w:r>
      <w:r>
        <w:rPr>
          <w:rFonts w:hint="eastAsia" w:ascii="宋体" w:hAnsi="宋体" w:cs="宋体"/>
          <w:snapToGrid w:val="0"/>
          <w:sz w:val="24"/>
          <w:highlight w:val="none"/>
        </w:rPr>
        <w:t>条关于不得担任董事的情形，同时适用于高级管理人员。</w:t>
      </w:r>
    </w:p>
    <w:p w14:paraId="1B1871C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本章程关于董事的忠实义务和勤勉义务的规定，同时适用于高级管理人员。</w:t>
      </w:r>
    </w:p>
    <w:p w14:paraId="5E10F3E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在公司控股股东、实际控制人单位担任除董事以外其他行政职务的人员，不得担任</w:t>
      </w:r>
      <w:r>
        <w:rPr>
          <w:rFonts w:hint="eastAsia" w:ascii="宋体" w:hAnsi="宋体" w:cs="宋体"/>
          <w:snapToGrid w:val="0"/>
          <w:sz w:val="24"/>
          <w:szCs w:val="22"/>
          <w:highlight w:val="none"/>
        </w:rPr>
        <w:t>公司的高级管理人员。</w:t>
      </w:r>
    </w:p>
    <w:p w14:paraId="3D90C266">
      <w:pPr>
        <w:tabs>
          <w:tab w:val="left" w:pos="1605"/>
        </w:tabs>
        <w:spacing w:line="360" w:lineRule="auto"/>
        <w:ind w:left="426"/>
        <w:rPr>
          <w:rFonts w:hint="eastAsia" w:ascii="宋体" w:hAnsi="宋体" w:cs="宋体"/>
          <w:snapToGrid w:val="0"/>
          <w:sz w:val="24"/>
          <w:highlight w:val="none"/>
        </w:rPr>
      </w:pPr>
      <w:r>
        <w:rPr>
          <w:rFonts w:hint="eastAsia" w:ascii="宋体" w:hAnsi="宋体" w:cs="宋体"/>
          <w:snapToGrid w:val="0"/>
          <w:sz w:val="24"/>
          <w:szCs w:val="22"/>
          <w:highlight w:val="none"/>
        </w:rPr>
        <w:t>公司高级管理人员仅在公司领薪，不由控股股东代发薪水。</w:t>
      </w:r>
    </w:p>
    <w:p w14:paraId="1D114CEE">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总经理每届任期3年，总经理连聘可以连任。</w:t>
      </w:r>
    </w:p>
    <w:p w14:paraId="09DAFEA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总经理对董事会负责，行使下列职权：</w:t>
      </w:r>
    </w:p>
    <w:p w14:paraId="71C95FCE">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（一）主持公司的生产经营管理工作，组织实施董事会决议，并向董事会报告工作；</w:t>
      </w:r>
    </w:p>
    <w:p w14:paraId="0A428B71">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（二）组织实施公司年度经营计划和投资方案；</w:t>
      </w:r>
    </w:p>
    <w:p w14:paraId="020619D6">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（三）拟订公司内部管理机构设置方案；</w:t>
      </w:r>
    </w:p>
    <w:p w14:paraId="02C46468">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（四）拟订公司的基本管理制度；</w:t>
      </w:r>
    </w:p>
    <w:p w14:paraId="3A6E9F7A">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（五）制定公司的具体规章；</w:t>
      </w:r>
    </w:p>
    <w:p w14:paraId="131379B7">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（六）提请董事会聘任或者解聘公司副总经理、财务总监；</w:t>
      </w:r>
    </w:p>
    <w:p w14:paraId="5F84324B">
      <w:pPr>
        <w:spacing w:line="360" w:lineRule="auto"/>
        <w:ind w:firstLine="480" w:firstLineChars="200"/>
        <w:rPr>
          <w:rFonts w:hint="eastAsia" w:ascii="宋体" w:hAnsi="宋体" w:cs="宋体"/>
          <w:bCs/>
          <w:snapToGrid w:val="0"/>
          <w:sz w:val="24"/>
          <w:highlight w:val="none"/>
        </w:rPr>
      </w:pPr>
      <w:r>
        <w:rPr>
          <w:rFonts w:hint="eastAsia" w:ascii="宋体" w:hAnsi="宋体" w:cs="宋体"/>
          <w:bCs/>
          <w:snapToGrid w:val="0"/>
          <w:sz w:val="24"/>
          <w:highlight w:val="none"/>
        </w:rPr>
        <w:t>（七）决定聘任或者解聘除应由董事会决定聘任或者解聘以外的负责管理人员；</w:t>
      </w:r>
    </w:p>
    <w:p w14:paraId="10CFAA09">
      <w:pPr>
        <w:spacing w:line="360" w:lineRule="auto"/>
        <w:ind w:firstLine="480" w:firstLineChars="200"/>
        <w:outlineLvl w:val="9"/>
        <w:rPr>
          <w:rFonts w:hint="eastAsia" w:ascii="宋体" w:hAnsi="宋体" w:cs="宋体"/>
          <w:bCs/>
          <w:sz w:val="24"/>
          <w:highlight w:val="none"/>
        </w:rPr>
      </w:pPr>
      <w:bookmarkStart w:id="193" w:name="_Toc28728"/>
      <w:bookmarkStart w:id="194" w:name="_Toc8994"/>
      <w:r>
        <w:rPr>
          <w:rFonts w:hint="eastAsia" w:ascii="宋体" w:hAnsi="宋体" w:cs="宋体"/>
          <w:sz w:val="24"/>
          <w:highlight w:val="none"/>
        </w:rPr>
        <w:t>（八）本章程或董事会授予的其他职权。</w:t>
      </w:r>
      <w:bookmarkEnd w:id="193"/>
      <w:bookmarkEnd w:id="194"/>
    </w:p>
    <w:p w14:paraId="343ACC9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总经理列席董事会会议。</w:t>
      </w:r>
    </w:p>
    <w:p w14:paraId="16F611D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副总经理协助总经理工作，在总经理不能履行职权时，由董事长指定一名副总经理代行职权。</w:t>
      </w:r>
    </w:p>
    <w:p w14:paraId="27328E6E">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总经理应制订总经理工作细则，报董事会批准后实施。</w:t>
      </w:r>
    </w:p>
    <w:p w14:paraId="134BD04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总经理工作细则包括下列内容：</w:t>
      </w:r>
    </w:p>
    <w:p w14:paraId="69D1483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（一）总经理会议召开的条件、程序和参加的人员；</w:t>
      </w:r>
    </w:p>
    <w:p w14:paraId="4C47BD4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（二）总经理及其他高级管理人员各自具体的职责及其分工；</w:t>
      </w:r>
    </w:p>
    <w:p w14:paraId="0431F0E6">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（三）公司资金、资产运用，签订重大合同的权限，以及向董事会、监事会的报告制度；</w:t>
      </w:r>
    </w:p>
    <w:p w14:paraId="56463B29">
      <w:pPr>
        <w:spacing w:line="360" w:lineRule="auto"/>
        <w:ind w:firstLine="480" w:firstLineChars="200"/>
        <w:outlineLvl w:val="9"/>
        <w:rPr>
          <w:rFonts w:hint="eastAsia" w:ascii="宋体" w:hAnsi="宋体" w:cs="宋体"/>
          <w:snapToGrid w:val="0"/>
          <w:sz w:val="24"/>
          <w:highlight w:val="none"/>
        </w:rPr>
      </w:pPr>
      <w:bookmarkStart w:id="195" w:name="_Toc6353"/>
      <w:bookmarkStart w:id="196" w:name="_Toc5126"/>
      <w:r>
        <w:rPr>
          <w:rFonts w:hint="eastAsia" w:ascii="宋体" w:hAnsi="宋体" w:cs="宋体"/>
          <w:snapToGrid w:val="0"/>
          <w:sz w:val="24"/>
          <w:highlight w:val="none"/>
        </w:rPr>
        <w:t>（四）董事会认为必要的其他事项。</w:t>
      </w:r>
      <w:bookmarkEnd w:id="195"/>
      <w:bookmarkEnd w:id="196"/>
    </w:p>
    <w:p w14:paraId="754A0AD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总经理可以在任期届满以前提出辞职，但应书面通知董事会；总经理或其他高级管理人员有关辞职的具体程序和办法在与公司签订的劳务合同中明确规定；总经理、副总经理必须在完成离任审计后方可离任。</w:t>
      </w:r>
    </w:p>
    <w:p w14:paraId="47B444B5">
      <w:pPr>
        <w:numPr>
          <w:ilvl w:val="0"/>
          <w:numId w:val="7"/>
        </w:numPr>
        <w:spacing w:line="360" w:lineRule="auto"/>
        <w:ind w:firstLine="524"/>
        <w:rPr>
          <w:rFonts w:hint="eastAsia" w:ascii="宋体" w:hAnsi="宋体" w:cs="宋体"/>
          <w:snapToGrid w:val="0"/>
          <w:sz w:val="24"/>
          <w:highlight w:val="none"/>
        </w:rPr>
      </w:pPr>
      <w:r>
        <w:rPr>
          <w:rFonts w:hint="eastAsia" w:ascii="宋体" w:hAnsi="宋体" w:cs="宋体"/>
          <w:snapToGrid w:val="0"/>
          <w:sz w:val="24"/>
          <w:highlight w:val="none"/>
        </w:rPr>
        <w:t>副总经理、财务总监由总经理提名，由董事会聘任和解聘。副总经理、财务总监每届任期3年，经连聘可连任。</w:t>
      </w:r>
    </w:p>
    <w:p w14:paraId="305EEAEE">
      <w:pPr>
        <w:adjustRightInd w:val="0"/>
        <w:snapToGrid w:val="0"/>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副总经理、财务总监在总经理的统一领导下开展工作，向其报告工作，并根据分派的业务范围履行相关职责。</w:t>
      </w:r>
    </w:p>
    <w:p w14:paraId="396E727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公司设董事会秘书一人，由董事长提名，由董事会聘任或解聘。董事会秘书负责公司股东大会和董事会会议的筹备、文件保管以及公司股东资料管理等事宜，办理信息披露事务等事宜。</w:t>
      </w:r>
    </w:p>
    <w:p w14:paraId="726DDEEC">
      <w:pPr>
        <w:spacing w:line="360" w:lineRule="auto"/>
        <w:ind w:left="426"/>
        <w:rPr>
          <w:rFonts w:hint="eastAsia" w:ascii="宋体" w:hAnsi="宋体" w:cs="宋体"/>
          <w:snapToGrid w:val="0"/>
          <w:sz w:val="24"/>
          <w:highlight w:val="none"/>
        </w:rPr>
      </w:pPr>
      <w:r>
        <w:rPr>
          <w:rFonts w:hint="eastAsia" w:ascii="宋体" w:hAnsi="宋体" w:cs="宋体"/>
          <w:snapToGrid w:val="0"/>
          <w:sz w:val="24"/>
          <w:highlight w:val="none"/>
        </w:rPr>
        <w:t>董事会秘书应遵守法律、行政法规、部门规章及本章程的有关规定。</w:t>
      </w:r>
    </w:p>
    <w:p w14:paraId="126B462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董事会秘书应当具有履行职责必备的专业知识和经验，具有良好的职业道德和个人品德。</w:t>
      </w:r>
    </w:p>
    <w:p w14:paraId="23BE6A3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董事会秘书应当由上市公司董事、总经理、副总经理、财务总监或者公司章程规定的其他高级管理人员担任。</w:t>
      </w:r>
    </w:p>
    <w:p w14:paraId="4456557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董事会秘书负责股东大会、董事会会议的筹备、会议记录和会议文件的保管、股东资料管理、信息披露及其他日常事务，并负责将股东大会、董事会、监事会会议文件报中国证监会派出机构备案等事宜。</w:t>
      </w:r>
    </w:p>
    <w:p w14:paraId="1DAF111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公司应当在聘任董事会秘书时与其签订保密协议，要求其承诺在任职期间以及在离任后持续履行保密义务直至有关信息披露为止，但涉及公司违法违规的信息除外。</w:t>
      </w:r>
    </w:p>
    <w:p w14:paraId="50B5151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董事会秘书离任前，应当接受董事会、监事会的离任审查，在公司监事会的监督下移交有关档案文件、正在办理或者待办事项。</w:t>
      </w:r>
    </w:p>
    <w:p w14:paraId="6330E1C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高级管理人员执行公司职务时违反法律、行政法规、部门规章或本章程的规定，给公司造成损失的，应当承担赔偿责任。</w:t>
      </w:r>
    </w:p>
    <w:p w14:paraId="27324A7A">
      <w:pPr>
        <w:spacing w:line="360" w:lineRule="auto"/>
        <w:ind w:firstLine="480" w:firstLineChars="200"/>
        <w:rPr>
          <w:rFonts w:hint="eastAsia" w:ascii="宋体" w:hAnsi="宋体" w:cs="宋体"/>
          <w:snapToGrid w:val="0"/>
          <w:sz w:val="24"/>
          <w:szCs w:val="22"/>
          <w:highlight w:val="none"/>
        </w:rPr>
      </w:pPr>
      <w:bookmarkStart w:id="197" w:name="_Toc203475068"/>
      <w:bookmarkStart w:id="198" w:name="_Toc422141932"/>
      <w:bookmarkStart w:id="199" w:name="_Toc20403"/>
      <w:bookmarkStart w:id="200" w:name="_Toc325815154"/>
      <w:r>
        <w:rPr>
          <w:rFonts w:hint="eastAsia" w:ascii="宋体" w:hAnsi="宋体" w:cs="宋体"/>
          <w:snapToGrid w:val="0"/>
          <w:sz w:val="24"/>
          <w:szCs w:val="22"/>
          <w:highlight w:val="none"/>
        </w:rPr>
        <w:t>公司高级管理人员应当忠实履行职务，维护公司和全体股东的最大利益。公司高级管理人员因未能忠实履行职务或违背诚信义务，给公司和社会公众股股东的利益造成损害的，应当依法承担赔偿责任。</w:t>
      </w:r>
    </w:p>
    <w:p w14:paraId="52B99F6B">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201" w:name="_Toc15399492"/>
      <w:bookmarkStart w:id="202" w:name="_Toc2168"/>
      <w:bookmarkStart w:id="203" w:name="_Toc8409"/>
      <w:bookmarkStart w:id="204" w:name="_Toc4459"/>
      <w:bookmarkStart w:id="205" w:name="_Toc32740"/>
      <w:bookmarkStart w:id="206" w:name="_Toc21596"/>
      <w:bookmarkStart w:id="207" w:name="_Toc9659"/>
      <w:r>
        <w:rPr>
          <w:rFonts w:hint="eastAsia" w:ascii="宋体" w:hAnsi="宋体" w:eastAsia="宋体" w:cs="宋体"/>
          <w:b/>
          <w:kern w:val="0"/>
          <w:sz w:val="30"/>
          <w:szCs w:val="30"/>
          <w:highlight w:val="none"/>
        </w:rPr>
        <w:t>第七章  监事会</w:t>
      </w:r>
      <w:bookmarkEnd w:id="197"/>
      <w:bookmarkEnd w:id="198"/>
      <w:bookmarkEnd w:id="199"/>
      <w:bookmarkEnd w:id="200"/>
      <w:bookmarkEnd w:id="201"/>
      <w:bookmarkEnd w:id="202"/>
      <w:bookmarkEnd w:id="203"/>
      <w:bookmarkEnd w:id="204"/>
      <w:bookmarkEnd w:id="205"/>
      <w:bookmarkEnd w:id="206"/>
      <w:bookmarkEnd w:id="207"/>
    </w:p>
    <w:p w14:paraId="6A83029A">
      <w:pPr>
        <w:pStyle w:val="32"/>
        <w:tabs>
          <w:tab w:val="left" w:pos="945"/>
          <w:tab w:val="clear" w:pos="1533"/>
        </w:tabs>
        <w:spacing w:before="0" w:after="0" w:line="360" w:lineRule="auto"/>
        <w:ind w:hanging="2"/>
        <w:rPr>
          <w:rFonts w:hint="eastAsia" w:ascii="宋体" w:hAnsi="宋体" w:eastAsia="宋体" w:cs="宋体"/>
          <w:b/>
          <w:snapToGrid w:val="0"/>
          <w:sz w:val="24"/>
          <w:szCs w:val="24"/>
          <w:highlight w:val="none"/>
        </w:rPr>
      </w:pPr>
      <w:bookmarkStart w:id="208" w:name="_Toc422141933"/>
      <w:bookmarkStart w:id="209" w:name="_Toc203475069"/>
      <w:r>
        <w:rPr>
          <w:rFonts w:hint="eastAsia" w:ascii="宋体" w:hAnsi="宋体" w:eastAsia="宋体" w:cs="宋体"/>
          <w:b/>
          <w:snapToGrid w:val="0"/>
          <w:sz w:val="24"/>
          <w:szCs w:val="24"/>
          <w:highlight w:val="none"/>
        </w:rPr>
        <w:t xml:space="preserve"> </w:t>
      </w:r>
      <w:bookmarkStart w:id="210" w:name="_Toc632"/>
      <w:bookmarkStart w:id="211" w:name="_Toc3101"/>
      <w:bookmarkStart w:id="212" w:name="_Toc1121224404"/>
      <w:bookmarkStart w:id="213" w:name="_Toc11"/>
      <w:bookmarkStart w:id="214" w:name="_Toc13433"/>
      <w:bookmarkStart w:id="215" w:name="_Toc14325"/>
      <w:bookmarkStart w:id="216" w:name="_Toc325815155"/>
      <w:bookmarkStart w:id="217" w:name="_Toc9506"/>
      <w:bookmarkStart w:id="218" w:name="_Toc6185"/>
      <w:r>
        <w:rPr>
          <w:rFonts w:hint="eastAsia" w:ascii="宋体" w:hAnsi="宋体" w:eastAsia="宋体" w:cs="宋体"/>
          <w:b/>
          <w:snapToGrid w:val="0"/>
          <w:sz w:val="24"/>
          <w:szCs w:val="24"/>
          <w:highlight w:val="none"/>
        </w:rPr>
        <w:t>监事</w:t>
      </w:r>
      <w:bookmarkEnd w:id="208"/>
      <w:bookmarkEnd w:id="209"/>
      <w:bookmarkEnd w:id="210"/>
      <w:bookmarkEnd w:id="211"/>
      <w:bookmarkEnd w:id="212"/>
      <w:bookmarkEnd w:id="213"/>
      <w:bookmarkEnd w:id="214"/>
      <w:bookmarkEnd w:id="215"/>
      <w:bookmarkEnd w:id="216"/>
      <w:bookmarkEnd w:id="217"/>
      <w:bookmarkEnd w:id="218"/>
    </w:p>
    <w:p w14:paraId="6C604B37">
      <w:pPr>
        <w:spacing w:line="360" w:lineRule="auto"/>
        <w:rPr>
          <w:rFonts w:hint="eastAsia" w:ascii="宋体" w:hAnsi="宋体" w:cs="宋体"/>
          <w:snapToGrid w:val="0"/>
          <w:sz w:val="24"/>
          <w:highlight w:val="none"/>
        </w:rPr>
      </w:pPr>
    </w:p>
    <w:p w14:paraId="1E42ECD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本章程第九十</w:t>
      </w:r>
      <w:r>
        <w:rPr>
          <w:rFonts w:hint="eastAsia" w:ascii="宋体" w:hAnsi="宋体" w:cs="宋体"/>
          <w:snapToGrid w:val="0"/>
          <w:sz w:val="24"/>
          <w:highlight w:val="none"/>
          <w:lang w:val="en-US" w:eastAsia="zh-Hans"/>
        </w:rPr>
        <w:t>七</w:t>
      </w:r>
      <w:r>
        <w:rPr>
          <w:rFonts w:hint="eastAsia" w:ascii="宋体" w:hAnsi="宋体" w:cs="宋体"/>
          <w:snapToGrid w:val="0"/>
          <w:sz w:val="24"/>
          <w:highlight w:val="none"/>
        </w:rPr>
        <w:t>条关于不得担任董事的情形，同时适用于监事。</w:t>
      </w:r>
    </w:p>
    <w:p w14:paraId="08A6D05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董事、总经理和其他高级管理人员不得兼任监事。</w:t>
      </w:r>
    </w:p>
    <w:p w14:paraId="3DD25FD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公司董事会中兼任公司高级管理人员以及由职工代表担任的董事人数总计不得超过公司董事总数的二分之一。</w:t>
      </w:r>
    </w:p>
    <w:p w14:paraId="12252BE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公司董事、高级管理人员及其配偶和直系亲属在公司董事、高级管理人员任职期间不得担任公司监事。</w:t>
      </w:r>
    </w:p>
    <w:p w14:paraId="0D516C1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监事应当遵守法律、行政法规和本章程，对公司负有忠实义务和勤勉义务，不得利用职权收受贿赂或者其他非法收入，不得侵占公司的财产。</w:t>
      </w:r>
    </w:p>
    <w:p w14:paraId="5C380AC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监事的任期每届为3年。监事任期届满，连选可以连任。</w:t>
      </w:r>
    </w:p>
    <w:p w14:paraId="504F054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监事任期届满未及时改选，或者监事在任期内辞职导致监事会成员低于法定人数的，在改选出的监事就任前，原监事仍应当依照法律、行政法规和本章程的规定，履行监事职务。</w:t>
      </w:r>
    </w:p>
    <w:p w14:paraId="0D1F85E3">
      <w:pPr>
        <w:numPr>
          <w:ilvl w:val="0"/>
          <w:numId w:val="7"/>
        </w:numPr>
        <w:spacing w:line="360" w:lineRule="auto"/>
        <w:rPr>
          <w:rFonts w:hint="eastAsia" w:ascii="宋体" w:hAnsi="宋体" w:cs="宋体"/>
          <w:snapToGrid w:val="0"/>
          <w:sz w:val="24"/>
          <w:szCs w:val="22"/>
          <w:highlight w:val="none"/>
        </w:rPr>
      </w:pPr>
      <w:r>
        <w:rPr>
          <w:rFonts w:hint="eastAsia" w:ascii="宋体" w:hAnsi="宋体" w:cs="宋体"/>
          <w:snapToGrid w:val="0"/>
          <w:sz w:val="24"/>
          <w:szCs w:val="22"/>
          <w:highlight w:val="none"/>
        </w:rPr>
        <w:t>监事应当保证公司披露的信息真实、准确、完整，并对定期报告签署书面确认意见。</w:t>
      </w:r>
    </w:p>
    <w:p w14:paraId="29902EC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监事可以列席董事会会议，并对董事会决议事项提出质询或者建议。</w:t>
      </w:r>
    </w:p>
    <w:p w14:paraId="540264D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监事不得利用其关联关系损害公司利益，若给公司造成损失的，应当承担赔偿责任。</w:t>
      </w:r>
    </w:p>
    <w:p w14:paraId="6A89460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监事执行公司职务时违反法律、行政法规、部门规章或本章程的规定，给公司造成损失的，应当承担赔偿责任。</w:t>
      </w:r>
    </w:p>
    <w:p w14:paraId="3A02ED24">
      <w:pPr>
        <w:pStyle w:val="32"/>
        <w:tabs>
          <w:tab w:val="clear" w:pos="1533"/>
        </w:tabs>
        <w:spacing w:before="0" w:after="0" w:line="360" w:lineRule="auto"/>
        <w:rPr>
          <w:rFonts w:hint="eastAsia" w:ascii="宋体" w:hAnsi="宋体" w:eastAsia="宋体" w:cs="宋体"/>
          <w:b/>
          <w:snapToGrid w:val="0"/>
          <w:sz w:val="24"/>
          <w:szCs w:val="24"/>
          <w:highlight w:val="none"/>
        </w:rPr>
      </w:pPr>
      <w:bookmarkStart w:id="219" w:name="_Toc325815156"/>
      <w:bookmarkStart w:id="220" w:name="_Toc22881"/>
      <w:bookmarkStart w:id="221" w:name="_Toc203475070"/>
      <w:bookmarkStart w:id="222" w:name="_Toc422141934"/>
      <w:r>
        <w:rPr>
          <w:rFonts w:hint="eastAsia" w:ascii="宋体" w:hAnsi="宋体" w:eastAsia="宋体" w:cs="宋体"/>
          <w:b/>
          <w:snapToGrid w:val="0"/>
          <w:sz w:val="24"/>
          <w:szCs w:val="24"/>
          <w:highlight w:val="none"/>
        </w:rPr>
        <w:t xml:space="preserve"> </w:t>
      </w:r>
      <w:bookmarkStart w:id="223" w:name="_Toc26058"/>
      <w:bookmarkStart w:id="224" w:name="_Toc249555603"/>
      <w:bookmarkStart w:id="225" w:name="_Toc4205"/>
      <w:bookmarkStart w:id="226" w:name="_Toc12619"/>
      <w:bookmarkStart w:id="227" w:name="_Toc19745"/>
      <w:bookmarkStart w:id="228" w:name="_Toc3238"/>
      <w:bookmarkStart w:id="229" w:name="_Toc27096"/>
      <w:r>
        <w:rPr>
          <w:rFonts w:hint="eastAsia" w:ascii="宋体" w:hAnsi="宋体" w:eastAsia="宋体" w:cs="宋体"/>
          <w:b/>
          <w:snapToGrid w:val="0"/>
          <w:sz w:val="24"/>
          <w:szCs w:val="24"/>
          <w:highlight w:val="none"/>
        </w:rPr>
        <w:t>监事会</w:t>
      </w:r>
      <w:bookmarkEnd w:id="219"/>
      <w:bookmarkEnd w:id="220"/>
      <w:bookmarkEnd w:id="221"/>
      <w:bookmarkEnd w:id="222"/>
      <w:bookmarkEnd w:id="223"/>
      <w:bookmarkEnd w:id="224"/>
      <w:bookmarkEnd w:id="225"/>
      <w:bookmarkEnd w:id="226"/>
      <w:bookmarkEnd w:id="227"/>
      <w:bookmarkEnd w:id="228"/>
      <w:bookmarkEnd w:id="229"/>
    </w:p>
    <w:p w14:paraId="7AE3E067">
      <w:pPr>
        <w:numPr>
          <w:ilvl w:val="0"/>
          <w:numId w:val="7"/>
        </w:numPr>
        <w:spacing w:line="360" w:lineRule="auto"/>
        <w:ind w:left="-96" w:firstLine="516" w:firstLineChars="215"/>
        <w:rPr>
          <w:rFonts w:hint="eastAsia" w:ascii="宋体" w:hAnsi="宋体" w:cs="宋体"/>
          <w:snapToGrid w:val="0"/>
          <w:sz w:val="24"/>
          <w:highlight w:val="none"/>
        </w:rPr>
      </w:pPr>
      <w:r>
        <w:rPr>
          <w:rFonts w:hint="eastAsia" w:ascii="宋体" w:hAnsi="宋体" w:cs="宋体"/>
          <w:snapToGrid w:val="0"/>
          <w:sz w:val="24"/>
          <w:highlight w:val="none"/>
        </w:rPr>
        <w:t xml:space="preserve"> 公司设监事会。监事会由3名监事组成，监事会设主席一人。监事会主席由全体监事过半数选举产生。</w:t>
      </w:r>
    </w:p>
    <w:p w14:paraId="240DD0D2">
      <w:pPr>
        <w:numPr>
          <w:ilvl w:val="-1"/>
          <w:numId w:val="0"/>
        </w:numPr>
        <w:wordWrap w:val="0"/>
        <w:spacing w:line="360" w:lineRule="auto"/>
        <w:ind w:left="0" w:firstLine="518" w:firstLineChars="216"/>
        <w:rPr>
          <w:rFonts w:hint="eastAsia" w:ascii="宋体" w:hAnsi="宋体" w:cs="宋体"/>
          <w:snapToGrid w:val="0"/>
          <w:sz w:val="24"/>
          <w:highlight w:val="none"/>
        </w:rPr>
      </w:pPr>
      <w:r>
        <w:rPr>
          <w:rFonts w:hint="eastAsia" w:ascii="宋体" w:hAnsi="宋体" w:cs="宋体"/>
          <w:snapToGrid w:val="0"/>
          <w:sz w:val="24"/>
          <w:highlight w:val="none"/>
        </w:rPr>
        <w:t>监事会主席召集和主持监事会会议；监事会主席不能履行职务或者不履行职务的，由半数以上监事共同推举一名监事召集和主持监事会会议。</w:t>
      </w:r>
    </w:p>
    <w:p w14:paraId="280D133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监事会应当包括股东代表和适当比例的公司职工代表，其中职工代表的比例不低于1/3。监事会中的职工代表由公司职工通过职工代表大会、职工大会或者其他形式民主选举产生。</w:t>
      </w:r>
    </w:p>
    <w:p w14:paraId="148D5BB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监事会行使下列职权：</w:t>
      </w:r>
    </w:p>
    <w:p w14:paraId="5F8BD0B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（一）应当对董事会编制的公司定期报告进行审核并提出书面审核意见；</w:t>
      </w:r>
    </w:p>
    <w:p w14:paraId="51FBC12F">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（二）检查公司财务；</w:t>
      </w:r>
    </w:p>
    <w:p w14:paraId="5064310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（三）对董事、高级管理人员执行公司职务的行为进行监督，对违反法律、行政法规、本章程或者股东大会决议的董事、高级管理人员提出罢免的建议；</w:t>
      </w:r>
    </w:p>
    <w:p w14:paraId="5CE063A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（四）当董事、高级管理人员的行为损害公司的利益时，要求董事、高级管理人员予以纠正；</w:t>
      </w:r>
    </w:p>
    <w:p w14:paraId="37EBC4B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（五）提议召开临时股东大会，在董事会不履行《公司法》规定的召集和主持股东大会职责时召集和主持股东大会；</w:t>
      </w:r>
    </w:p>
    <w:p w14:paraId="542D61FC">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（六）向股东大会提出提案；</w:t>
      </w:r>
    </w:p>
    <w:p w14:paraId="705E6A8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（七）依照《公司法》第151条的规定，对董事、高级管理人员提起诉讼；</w:t>
      </w:r>
    </w:p>
    <w:p w14:paraId="23E8AF3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（八）发现公司经营情况异常，可以进行调查；必要时，可以聘请会计师事务所、律师事务所等专业机构协助其工作，费用由公司承担；</w:t>
      </w:r>
    </w:p>
    <w:p w14:paraId="786DD1D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（九）法律、行政法规、部门规章、证券交易所或公司章程规定的其他职权。</w:t>
      </w:r>
    </w:p>
    <w:p w14:paraId="1EE68BE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监事会每6个月至少召开一次会议。监事可以提议召开临时监事会会议。</w:t>
      </w:r>
    </w:p>
    <w:p w14:paraId="571233F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监事会决议应当经半数以上监事通过。</w:t>
      </w:r>
    </w:p>
    <w:p w14:paraId="2B34E26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监事会制定监事会议事规则，明确监事会的议事方式和表决程序，以确保监事会的工作效率和科学决策。</w:t>
      </w:r>
    </w:p>
    <w:p w14:paraId="098B4973">
      <w:pPr>
        <w:spacing w:line="360" w:lineRule="auto"/>
        <w:ind w:left="-96"/>
        <w:rPr>
          <w:rFonts w:hint="eastAsia" w:ascii="宋体" w:hAnsi="宋体" w:cs="宋体"/>
          <w:snapToGrid w:val="0"/>
          <w:sz w:val="24"/>
          <w:highlight w:val="none"/>
        </w:rPr>
      </w:pPr>
      <w:r>
        <w:rPr>
          <w:rFonts w:hint="eastAsia" w:ascii="宋体" w:hAnsi="宋体" w:cs="宋体"/>
          <w:snapToGrid w:val="0"/>
          <w:sz w:val="24"/>
          <w:highlight w:val="none"/>
        </w:rPr>
        <w:t xml:space="preserve">    监事会议事规则应作为章程的附件，由监事会拟定，股东大会批准。</w:t>
      </w:r>
    </w:p>
    <w:p w14:paraId="6822B67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监事会应当将所议事项的决定做成会议记录，出席会议的监事应当在会议记录上签名。</w:t>
      </w:r>
    </w:p>
    <w:p w14:paraId="7A841DB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监事有权要求在记录上对其在会议上的发言作出某种说明性记载。监事会会议记录作为公司档案至少保存10年。</w:t>
      </w:r>
    </w:p>
    <w:p w14:paraId="1DBD8869">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监事会会议通知包括以下内容：</w:t>
      </w:r>
    </w:p>
    <w:p w14:paraId="278404F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（一）举行会议的日期、地点和会议期限；</w:t>
      </w:r>
    </w:p>
    <w:p w14:paraId="76B2BAC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（二）事由及议题；</w:t>
      </w:r>
    </w:p>
    <w:p w14:paraId="6722361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（三）发出通知的日期。</w:t>
      </w:r>
    </w:p>
    <w:p w14:paraId="51A20CFA">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230" w:name="_Toc203475071"/>
      <w:bookmarkStart w:id="231" w:name="_Toc20778"/>
      <w:bookmarkStart w:id="232" w:name="_Toc19777"/>
      <w:bookmarkStart w:id="233" w:name="_Toc18716"/>
      <w:bookmarkStart w:id="234" w:name="_Toc24090"/>
      <w:bookmarkStart w:id="235" w:name="_Toc422141935"/>
      <w:bookmarkStart w:id="236" w:name="_Toc325815157"/>
      <w:bookmarkStart w:id="237" w:name="_Toc21572"/>
      <w:bookmarkStart w:id="238" w:name="_Toc245457030"/>
      <w:bookmarkStart w:id="239" w:name="_Toc29759"/>
      <w:bookmarkStart w:id="240" w:name="_Toc27858"/>
      <w:r>
        <w:rPr>
          <w:rFonts w:hint="eastAsia" w:ascii="宋体" w:hAnsi="宋体" w:eastAsia="宋体" w:cs="宋体"/>
          <w:b/>
          <w:kern w:val="0"/>
          <w:sz w:val="30"/>
          <w:szCs w:val="30"/>
          <w:highlight w:val="none"/>
        </w:rPr>
        <w:t>第八章  财务会计制度、利润分配和审计</w:t>
      </w:r>
      <w:bookmarkEnd w:id="230"/>
      <w:bookmarkEnd w:id="231"/>
      <w:bookmarkEnd w:id="232"/>
      <w:bookmarkEnd w:id="233"/>
      <w:bookmarkEnd w:id="234"/>
      <w:bookmarkEnd w:id="235"/>
      <w:bookmarkEnd w:id="236"/>
      <w:bookmarkEnd w:id="237"/>
      <w:bookmarkEnd w:id="238"/>
      <w:bookmarkEnd w:id="239"/>
      <w:bookmarkEnd w:id="240"/>
    </w:p>
    <w:p w14:paraId="53E31F4F">
      <w:pPr>
        <w:pStyle w:val="33"/>
        <w:tabs>
          <w:tab w:val="left" w:pos="1155"/>
          <w:tab w:val="clear" w:pos="1533"/>
        </w:tabs>
        <w:spacing w:before="0" w:after="0" w:line="360" w:lineRule="auto"/>
        <w:ind w:hanging="2"/>
        <w:rPr>
          <w:rFonts w:hint="eastAsia" w:ascii="宋体" w:hAnsi="宋体" w:eastAsia="宋体" w:cs="宋体"/>
          <w:b/>
          <w:snapToGrid w:val="0"/>
          <w:sz w:val="24"/>
          <w:szCs w:val="24"/>
          <w:highlight w:val="none"/>
        </w:rPr>
      </w:pPr>
      <w:bookmarkStart w:id="241" w:name="_Toc22256"/>
      <w:bookmarkStart w:id="242" w:name="_Toc80217323"/>
      <w:bookmarkStart w:id="243" w:name="_Toc27781"/>
      <w:bookmarkStart w:id="244" w:name="_Toc15784"/>
      <w:bookmarkStart w:id="245" w:name="_Toc325815158"/>
      <w:bookmarkStart w:id="246" w:name="_Toc203475072"/>
      <w:bookmarkStart w:id="247" w:name="_Toc422141936"/>
      <w:bookmarkStart w:id="248" w:name="_Toc19596"/>
      <w:bookmarkStart w:id="249" w:name="_Toc11384"/>
      <w:bookmarkStart w:id="250" w:name="_Toc21948"/>
      <w:bookmarkStart w:id="251" w:name="_Toc16004"/>
      <w:r>
        <w:rPr>
          <w:rFonts w:hint="eastAsia" w:ascii="宋体" w:hAnsi="宋体" w:eastAsia="宋体" w:cs="宋体"/>
          <w:b/>
          <w:snapToGrid w:val="0"/>
          <w:sz w:val="24"/>
          <w:szCs w:val="24"/>
          <w:highlight w:val="none"/>
        </w:rPr>
        <w:t>财务会计制度</w:t>
      </w:r>
      <w:bookmarkEnd w:id="241"/>
      <w:bookmarkEnd w:id="242"/>
      <w:bookmarkEnd w:id="243"/>
      <w:bookmarkEnd w:id="244"/>
      <w:bookmarkEnd w:id="245"/>
      <w:bookmarkEnd w:id="246"/>
      <w:bookmarkEnd w:id="247"/>
      <w:bookmarkEnd w:id="248"/>
      <w:bookmarkEnd w:id="249"/>
      <w:bookmarkEnd w:id="250"/>
      <w:bookmarkEnd w:id="251"/>
    </w:p>
    <w:p w14:paraId="782E966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公司依照法律、行政法规和国家有关部门的规定，制定公司的财务会计制度。</w:t>
      </w:r>
    </w:p>
    <w:p w14:paraId="33782E1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在每一会计年度结束之日起4个月内向中国证监会和证券交易所报送并披露年度报告，在每一会计年度上半年结束之日起两个月内向中国证监会派出机构和证券交易所报送并披露中期报告。上述年度报告、中期报告按照有关法律、行政法规、中国证监会及证券交易所的规定进行编制。</w:t>
      </w:r>
    </w:p>
    <w:p w14:paraId="3D786FA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公司除法定的会计账簿外，将不另立会计账簿。公司的资产，不以任何个人名义开立账户存储。</w:t>
      </w:r>
    </w:p>
    <w:p w14:paraId="61AF1B2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公司分配当年税后利润时，应当提取利润的10%列入公司法定公积金。公司法定公积金累计额为公司注册资本的50%以上的，可以不再提取。</w:t>
      </w:r>
    </w:p>
    <w:p w14:paraId="0765958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公司的法定公积金不足以弥补以前年度亏损的，在依照前款规定提取法定公积金之前，应当先用当年利润弥补亏损。</w:t>
      </w:r>
    </w:p>
    <w:p w14:paraId="15D0902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公司从税后利润中提取法定公积金后，经股东大会决议，还可以从税后利润中提取任意公积金。</w:t>
      </w:r>
    </w:p>
    <w:p w14:paraId="5CE768D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公司弥补亏损和提取公积金后所余税后利润，按照股东持有的股份比例分配，但本章程规定不按持股比例分配的除外。</w:t>
      </w:r>
    </w:p>
    <w:p w14:paraId="3F34820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股东大会违反前款规定，在公司弥补亏损和提取法定公积金之前向股东分配利润的，股东必须将违反规定分配的利润退还公司。</w:t>
      </w:r>
    </w:p>
    <w:p w14:paraId="74BC7A3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公司持有的本公司股份不参与分配利润。</w:t>
      </w:r>
    </w:p>
    <w:p w14:paraId="1D16995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公司的公积金用于弥补公司的亏损、扩大公司生产经营或者转为增加公司资本。但是，资本公积金将不用于弥补公司的亏损。</w:t>
      </w:r>
    </w:p>
    <w:p w14:paraId="50A6A00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法定公积金转为资本时，所留存的该项公积金将不少于转增前公司注册资本25%。</w:t>
      </w:r>
    </w:p>
    <w:p w14:paraId="56C2539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公司股东大会对利润分配方案</w:t>
      </w:r>
      <w:r>
        <w:rPr>
          <w:rFonts w:hint="eastAsia" w:ascii="宋体" w:hAnsi="宋体" w:eastAsia="宋体" w:cs="宋体"/>
          <w:snapToGrid w:val="0"/>
          <w:sz w:val="24"/>
          <w:highlight w:val="none"/>
        </w:rPr>
        <w:t>作出决议后，公司董事会须在股东大会召开后2个月内完成股利（或股份）的派发事项</w:t>
      </w:r>
      <w:r>
        <w:rPr>
          <w:rFonts w:hint="eastAsia" w:ascii="宋体" w:hAnsi="宋体" w:cs="宋体"/>
          <w:snapToGrid w:val="0"/>
          <w:sz w:val="24"/>
          <w:highlight w:val="none"/>
        </w:rPr>
        <w:t>。</w:t>
      </w:r>
    </w:p>
    <w:p w14:paraId="6353AE91">
      <w:pPr>
        <w:numPr>
          <w:ilvl w:val="0"/>
          <w:numId w:val="7"/>
        </w:numPr>
        <w:spacing w:line="360" w:lineRule="auto"/>
        <w:ind w:left="0"/>
        <w:rPr>
          <w:rFonts w:hint="eastAsia" w:ascii="宋体" w:hAnsi="宋体" w:cs="宋体"/>
          <w:snapToGrid w:val="0"/>
          <w:sz w:val="24"/>
          <w:highlight w:val="none"/>
        </w:rPr>
      </w:pPr>
      <w:r>
        <w:rPr>
          <w:rFonts w:hint="eastAsia" w:ascii="宋体" w:hAnsi="宋体" w:cs="宋体"/>
          <w:snapToGrid w:val="0"/>
          <w:sz w:val="24"/>
          <w:highlight w:val="none"/>
        </w:rPr>
        <w:t>公司利润分配方案由董事会制定，方案制定过程中应注意听取并考虑公众投资者、独立董事、监事的意见。公司董事会及监事会审议通过利润分配方案后报股东大会审议批准。公司的利润分配政策为：</w:t>
      </w:r>
    </w:p>
    <w:p w14:paraId="2B410439">
      <w:p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（一）股利分配原则</w:t>
      </w:r>
    </w:p>
    <w:p w14:paraId="16195BAF">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实施积极的利润分配政策，重视对投资者的合理投资回报并兼顾公司的可持续发展，结合公司的盈利情况和业务未来发展战略的实际需要，建立对投资者持续、稳定的回报机制。保持利润分配政策的一致性、合理性和稳定性。公司董事会、监事会和股东大会对利润分配政策的决策和论证过程中应当充分考虑独立董事、外部监事和公众投资者的意见。</w:t>
      </w:r>
    </w:p>
    <w:p w14:paraId="5C52DC30">
      <w:p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（二）利润分配形式</w:t>
      </w:r>
    </w:p>
    <w:p w14:paraId="48BF838C">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采取现金、股票股利或者二者相结合的方式分配利润，并优先采取现金分配方式。利润分配不得超过累计可分配利润的范围，不得损害公司持续经营能力。公司董事会可以根据公司盈利及资金需求情况提议公司进行中期现金分红。</w:t>
      </w:r>
    </w:p>
    <w:p w14:paraId="153D63B8">
      <w:p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（三）利润分配的条件和具体比例</w:t>
      </w:r>
    </w:p>
    <w:p w14:paraId="77073B1B">
      <w:pPr>
        <w:spacing w:line="360" w:lineRule="auto"/>
        <w:ind w:firstLine="480"/>
        <w:outlineLvl w:val="3"/>
        <w:rPr>
          <w:rFonts w:hint="eastAsia" w:ascii="宋体" w:hAnsi="宋体" w:cs="宋体"/>
          <w:snapToGrid w:val="0"/>
          <w:sz w:val="24"/>
          <w:highlight w:val="none"/>
        </w:rPr>
      </w:pPr>
      <w:r>
        <w:rPr>
          <w:rFonts w:hint="eastAsia" w:ascii="宋体" w:hAnsi="宋体" w:cs="宋体"/>
          <w:snapToGrid w:val="0"/>
          <w:sz w:val="24"/>
          <w:highlight w:val="none"/>
        </w:rPr>
        <w:t>1、现金分红的条件和比例</w:t>
      </w:r>
    </w:p>
    <w:p w14:paraId="3365337C">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在公司当年盈利、累计未分配利润为正数且保证公司能够持续经营和长期发展的前提下，如公司无重大投资计划或重大现金支出安排（公司募集资金投资项目除外），公司应当优先采取现金方式分配股利，每年以现金方式分配的利润不低于当年实现的可分配利润的10%，且最近3年以现金方式累计分配的利润不少于最近3年实现的年均可分配利润的30%。</w:t>
      </w:r>
    </w:p>
    <w:p w14:paraId="42A3D346">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董事会制定利润分配方案时，综合考虑公司所处的行业特点、发展阶段、自身经营模式、盈利水平</w:t>
      </w:r>
      <w:r>
        <w:rPr>
          <w:rFonts w:hint="eastAsia" w:ascii="宋体" w:hAnsi="宋体" w:cs="宋体"/>
          <w:snapToGrid w:val="0"/>
          <w:sz w:val="24"/>
          <w:highlight w:val="none"/>
          <w:lang w:eastAsia="zh-CN"/>
        </w:rPr>
        <w:t>、</w:t>
      </w:r>
      <w:r>
        <w:rPr>
          <w:rFonts w:hint="eastAsia" w:ascii="宋体" w:hAnsi="宋体" w:cs="宋体"/>
          <w:snapToGrid w:val="0"/>
          <w:sz w:val="24"/>
          <w:highlight w:val="none"/>
          <w:lang w:val="en-US" w:eastAsia="zh-CN"/>
        </w:rPr>
        <w:t>债务偿还能力、</w:t>
      </w:r>
      <w:r>
        <w:rPr>
          <w:rFonts w:hint="eastAsia" w:ascii="宋体" w:hAnsi="宋体" w:cs="宋体"/>
          <w:snapToGrid w:val="0"/>
          <w:sz w:val="24"/>
          <w:highlight w:val="none"/>
        </w:rPr>
        <w:t>以及是否有重大资金支出安排</w:t>
      </w:r>
      <w:r>
        <w:rPr>
          <w:rFonts w:hint="eastAsia" w:ascii="宋体" w:hAnsi="宋体" w:cs="宋体"/>
          <w:snapToGrid w:val="0"/>
          <w:sz w:val="24"/>
          <w:highlight w:val="none"/>
          <w:lang w:val="en-US" w:eastAsia="zh-CN"/>
        </w:rPr>
        <w:t>和投资者回报</w:t>
      </w:r>
      <w:r>
        <w:rPr>
          <w:rFonts w:hint="eastAsia" w:ascii="宋体" w:hAnsi="宋体" w:cs="宋体"/>
          <w:snapToGrid w:val="0"/>
          <w:sz w:val="24"/>
          <w:highlight w:val="none"/>
        </w:rPr>
        <w:t>等因素，区分下列情形，并按照本章程规定的程序，提出差异化的现金分红政策：</w:t>
      </w:r>
    </w:p>
    <w:p w14:paraId="7E4DDD44">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（1）公司发展阶段属于成熟期且无重大资金支出安排的，进行利润分配时，现金分红在本次利润分配中所占比例最低应达到80% ；</w:t>
      </w:r>
    </w:p>
    <w:p w14:paraId="32A7935B">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（2）公司发展阶段属于成熟期且有重大资金支出安排的，现金分红在本次利润分配中所占比例最低应达到40%；</w:t>
      </w:r>
    </w:p>
    <w:p w14:paraId="6F1855F4">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（3）公司发展阶段属于成长期且有重大资金支出安排的，现金分红在本次利润分配中所占比例最低应达到20%；</w:t>
      </w:r>
    </w:p>
    <w:p w14:paraId="3A21517D">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公司发展阶段不易区分但有重大资金支出安排的，按照前项规定处理。</w:t>
      </w:r>
    </w:p>
    <w:p w14:paraId="2F066524">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现金分红在本次利润分配中所占比例为现金股利除以现金股利与股票股利之和。</w:t>
      </w:r>
    </w:p>
    <w:p w14:paraId="2712FD30">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重大投资计划或重大现金支出指以下情形之一：</w:t>
      </w:r>
    </w:p>
    <w:p w14:paraId="744A133E">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（1）公司未来12个月内拟对外投资、收购资产或购买设备累计支出达到或超过公司最近一期经审计净资产的50%，且超过5,000万元；</w:t>
      </w:r>
    </w:p>
    <w:p w14:paraId="7880DEBA">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（2）公司未来12个月内拟对外投资、收购资产或购买设备累计支出达到或超过公司最近一期经审计总资产的30%。</w:t>
      </w:r>
    </w:p>
    <w:p w14:paraId="7B06A560">
      <w:pPr>
        <w:spacing w:line="360" w:lineRule="auto"/>
        <w:ind w:firstLine="480"/>
        <w:outlineLvl w:val="3"/>
        <w:rPr>
          <w:rFonts w:hint="eastAsia" w:ascii="宋体" w:hAnsi="宋体" w:cs="宋体"/>
          <w:snapToGrid w:val="0"/>
          <w:sz w:val="24"/>
          <w:highlight w:val="none"/>
        </w:rPr>
      </w:pPr>
      <w:r>
        <w:rPr>
          <w:rFonts w:hint="eastAsia" w:ascii="宋体" w:hAnsi="宋体" w:cs="宋体"/>
          <w:snapToGrid w:val="0"/>
          <w:sz w:val="24"/>
          <w:highlight w:val="none"/>
        </w:rPr>
        <w:t>2、股票股利分配的条件</w:t>
      </w:r>
    </w:p>
    <w:p w14:paraId="67B3A6B8">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公司在经营状况良好，并考虑公司成长性、每股净资产的摊簿等</w:t>
      </w:r>
      <w:r>
        <w:rPr>
          <w:rFonts w:hint="eastAsia" w:ascii="宋体" w:hAnsi="宋体" w:cs="宋体"/>
          <w:snapToGrid w:val="0"/>
          <w:sz w:val="24"/>
          <w:highlight w:val="none"/>
          <w:lang w:val="en-US" w:eastAsia="zh-CN"/>
        </w:rPr>
        <w:t>真实</w:t>
      </w:r>
      <w:r>
        <w:rPr>
          <w:rFonts w:hint="eastAsia" w:ascii="宋体" w:hAnsi="宋体" w:cs="宋体"/>
          <w:snapToGrid w:val="0"/>
          <w:sz w:val="24"/>
          <w:highlight w:val="none"/>
        </w:rPr>
        <w:t>合理因素，且董事会认为发放股票股利有利于公司全体股东整体利益时，在保证现金分红比例和公司股本规模及股权结构合理的前提下，公司可以采用股票股利方式进行利润分配。</w:t>
      </w:r>
    </w:p>
    <w:p w14:paraId="5EC2311A">
      <w:pPr>
        <w:spacing w:line="360" w:lineRule="auto"/>
        <w:ind w:firstLine="480"/>
        <w:outlineLvl w:val="3"/>
        <w:rPr>
          <w:rFonts w:hint="eastAsia" w:ascii="宋体" w:hAnsi="宋体" w:cs="宋体"/>
          <w:snapToGrid w:val="0"/>
          <w:sz w:val="24"/>
          <w:highlight w:val="none"/>
        </w:rPr>
      </w:pPr>
      <w:r>
        <w:rPr>
          <w:rFonts w:hint="eastAsia" w:ascii="宋体" w:hAnsi="宋体" w:cs="宋体"/>
          <w:snapToGrid w:val="0"/>
          <w:sz w:val="24"/>
          <w:highlight w:val="none"/>
        </w:rPr>
        <w:t>3、利润分配的间隔</w:t>
      </w:r>
    </w:p>
    <w:p w14:paraId="1943709B">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在满足利润分配的条件下，公司每年度进行一次利润分配，公司可以根据盈利情况和资金需求状况进行中期分红，具体形式和分配比例由董事会根据公司经营状况和有关规定拟定，提交股东大会审议决定。</w:t>
      </w:r>
    </w:p>
    <w:p w14:paraId="610A9DF1">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股东大会对利润分配预案进行审议前，公司应当通过多种渠道主动与股东特别是中小股东进行沟通和交流，充分听取中小股东的意见和诉求，并及时答复中小股东关心的问题。</w:t>
      </w:r>
    </w:p>
    <w:p w14:paraId="498054A5">
      <w:pPr>
        <w:spacing w:line="360" w:lineRule="auto"/>
        <w:ind w:firstLine="480" w:firstLineChars="200"/>
        <w:outlineLvl w:val="2"/>
        <w:rPr>
          <w:rFonts w:hint="eastAsia" w:ascii="宋体" w:hAnsi="宋体" w:cs="宋体"/>
          <w:snapToGrid w:val="0"/>
          <w:sz w:val="24"/>
          <w:highlight w:val="none"/>
        </w:rPr>
      </w:pPr>
      <w:r>
        <w:rPr>
          <w:rFonts w:hint="eastAsia" w:ascii="宋体" w:hAnsi="宋体" w:cs="宋体"/>
          <w:snapToGrid w:val="0"/>
          <w:sz w:val="24"/>
          <w:highlight w:val="none"/>
        </w:rPr>
        <w:t>（四）利润分配方案的决策程序</w:t>
      </w:r>
    </w:p>
    <w:p w14:paraId="4A1533E5">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具体利润分配方案由公司董事会向公司股东大会提出，独立董事应当对董事会制定的利润分配方案是否认真研究和论证公司利润分配方案的时机、条件和最低比例、调整的条件及决策程序等发表明确意见。董事会制定的利润分配方案需经董事会过半数（其中应包含2/3以上的独立董事）表决通过、监事会半数以上监事表决通过。董事会在利润分配方案中应说明留存的未分配利润的使用计划，独立董事应在董事会审议当年利润分配方案前就利润分配方案的合理性发表独立意见。公司利润分配方案经董事会、监事会审议通过后，由董事会需提交公司股东大会审议。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p>
    <w:p w14:paraId="08F1370D">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涉及利润分配相关议案，公司独立董事可在股东大会召开前向公司社会公众股股东征集其在股东大会上的投票权，独立董事行使上述职权应当取得全体独立董事的1/2以上同意。</w:t>
      </w:r>
    </w:p>
    <w:p w14:paraId="0A1F5649">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股东大会在利润分配方案进行审议前，应当通过深圳证券交易所投资者交流平台、公司网站、电话、传真、电子邮件等多渠道与公众投资者，特别是中小投资者进行沟通与交流，充分听取公众投资者的意见与诉求，公司董事会秘书或证券事务代表及时将有关意见汇总并在审议利润分配方案的董事会上说明。</w:t>
      </w:r>
    </w:p>
    <w:p w14:paraId="334A4672">
      <w:pPr>
        <w:spacing w:line="360" w:lineRule="auto"/>
        <w:ind w:firstLine="480"/>
        <w:rPr>
          <w:rFonts w:hint="eastAsia" w:ascii="宋体" w:hAnsi="宋体" w:cs="宋体"/>
          <w:snapToGrid w:val="0"/>
          <w:sz w:val="24"/>
          <w:highlight w:val="none"/>
        </w:rPr>
      </w:pPr>
      <w:r>
        <w:rPr>
          <w:rFonts w:hint="eastAsia" w:ascii="宋体" w:hAnsi="宋体" w:cs="宋体"/>
          <w:snapToGrid w:val="0"/>
          <w:sz w:val="24"/>
          <w:highlight w:val="none"/>
        </w:rPr>
        <w:t>利润分配方案应当由出席股东大会的股东（包括股东代理人）过半数以上表决通过。公司股东大会对利润分配方案作出决议后，公司董事会须在股东大会召开后2个月内完成股利（或股份）的派发事项。</w:t>
      </w:r>
    </w:p>
    <w:p w14:paraId="7CE44EB4">
      <w:p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（五）利润分配政策的调整</w:t>
      </w:r>
    </w:p>
    <w:p w14:paraId="320567E3">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公司可根据需要调整利润分配政策，调整后利润分配政策不得损害股东权益、不得违反中国证监会和证券交易所的有关规定，有关调整利润分配政策的议案需经公司董事会审议后提交公司股东大会批准。</w:t>
      </w:r>
    </w:p>
    <w:p w14:paraId="71868BF4">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如需调整利润分配政策，应由公司董事会根据实际情况提出利润分配政策调整议案，并事先征求独立董事及监事会的意见，利润分配政策调整议案需经董事会全体成员过半数（其中包含2/3以上独立董事）表决通过并经半数以上监事表决通过。经董事会、监事会审议通过的利润分配政策调整方案，由董事会提交公司股东大会审议。</w:t>
      </w:r>
    </w:p>
    <w:p w14:paraId="5472663A">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董事会需在股东大会提案中详细论证和说明原因，股东大会审议公司利润分配政策调整议案，需经出席股东大会的股东所持表决权的2/3以上审议通过。为充分听取中小股东意见，公司应通过提供网络投票等方式为社会公众股东参加股东大会提供便利，必要时独立董事可公开征集中小股东投票权。</w:t>
      </w:r>
    </w:p>
    <w:p w14:paraId="608A20AD">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公司调整后的利润分配政策不得违反中国证监会和证券交易所的有关规定。</w:t>
      </w:r>
    </w:p>
    <w:p w14:paraId="358611BA">
      <w:pPr>
        <w:spacing w:line="360" w:lineRule="auto"/>
        <w:outlineLvl w:val="2"/>
        <w:rPr>
          <w:rFonts w:hint="eastAsia" w:ascii="宋体" w:hAnsi="宋体" w:cs="宋体"/>
          <w:snapToGrid w:val="0"/>
          <w:sz w:val="24"/>
          <w:highlight w:val="none"/>
        </w:rPr>
      </w:pPr>
      <w:r>
        <w:rPr>
          <w:rFonts w:hint="eastAsia" w:ascii="宋体" w:hAnsi="宋体" w:cs="宋体"/>
          <w:snapToGrid w:val="0"/>
          <w:sz w:val="24"/>
          <w:highlight w:val="none"/>
        </w:rPr>
        <w:t xml:space="preserve">    （六）其他</w:t>
      </w:r>
    </w:p>
    <w:p w14:paraId="575BF284">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公司股东及其关联方存在违规占用公司资金情况的，公司应当扣减该股东所获分配的现金红利，以偿还其占用的资金。</w:t>
      </w:r>
    </w:p>
    <w:p w14:paraId="0749884C">
      <w:pPr>
        <w:pStyle w:val="33"/>
        <w:tabs>
          <w:tab w:val="clear" w:pos="1533"/>
        </w:tabs>
        <w:spacing w:before="0" w:after="0" w:line="360" w:lineRule="auto"/>
        <w:rPr>
          <w:rFonts w:hint="eastAsia" w:ascii="宋体" w:hAnsi="宋体" w:eastAsia="宋体" w:cs="宋体"/>
          <w:b/>
          <w:snapToGrid w:val="0"/>
          <w:sz w:val="24"/>
          <w:szCs w:val="24"/>
          <w:highlight w:val="none"/>
        </w:rPr>
      </w:pPr>
      <w:bookmarkStart w:id="252" w:name="_Toc422141937"/>
      <w:bookmarkStart w:id="253" w:name="_Toc203475073"/>
      <w:r>
        <w:rPr>
          <w:rFonts w:hint="eastAsia" w:ascii="宋体" w:hAnsi="宋体" w:eastAsia="宋体" w:cs="宋体"/>
          <w:b/>
          <w:snapToGrid w:val="0"/>
          <w:sz w:val="24"/>
          <w:szCs w:val="24"/>
          <w:highlight w:val="none"/>
        </w:rPr>
        <w:t xml:space="preserve">  </w:t>
      </w:r>
      <w:bookmarkStart w:id="254" w:name="_Toc1740300992"/>
      <w:bookmarkStart w:id="255" w:name="_Toc13857"/>
      <w:bookmarkStart w:id="256" w:name="_Toc12543"/>
      <w:bookmarkStart w:id="257" w:name="_Toc17396"/>
      <w:bookmarkStart w:id="258" w:name="_Toc325815159"/>
      <w:bookmarkStart w:id="259" w:name="_Toc23700"/>
      <w:bookmarkStart w:id="260" w:name="_Toc4029"/>
      <w:bookmarkStart w:id="261" w:name="_Toc26096"/>
      <w:bookmarkStart w:id="262" w:name="_Toc7100"/>
      <w:r>
        <w:rPr>
          <w:rFonts w:hint="eastAsia" w:ascii="宋体" w:hAnsi="宋体" w:eastAsia="宋体" w:cs="宋体"/>
          <w:b/>
          <w:snapToGrid w:val="0"/>
          <w:sz w:val="24"/>
          <w:szCs w:val="24"/>
          <w:highlight w:val="none"/>
        </w:rPr>
        <w:t>内部审计</w:t>
      </w:r>
      <w:bookmarkEnd w:id="252"/>
      <w:bookmarkEnd w:id="253"/>
      <w:bookmarkEnd w:id="254"/>
      <w:bookmarkEnd w:id="255"/>
      <w:bookmarkEnd w:id="256"/>
      <w:bookmarkEnd w:id="257"/>
      <w:bookmarkEnd w:id="258"/>
      <w:bookmarkEnd w:id="259"/>
      <w:bookmarkEnd w:id="260"/>
      <w:bookmarkEnd w:id="261"/>
      <w:bookmarkEnd w:id="262"/>
    </w:p>
    <w:p w14:paraId="1366B74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公司实行内部审计制度，配备专职审计人员，对公司财务收支和经济活动进行内部审计监督。</w:t>
      </w:r>
    </w:p>
    <w:p w14:paraId="6B632F6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公司内部审计制度和审计人员的职责，应当经董事会批准后实施。审计负责人向董事会负责并报告工作。</w:t>
      </w:r>
    </w:p>
    <w:p w14:paraId="1A6609D3">
      <w:pPr>
        <w:pStyle w:val="33"/>
        <w:tabs>
          <w:tab w:val="clear" w:pos="1533"/>
        </w:tabs>
        <w:spacing w:before="0" w:after="0" w:line="360" w:lineRule="auto"/>
        <w:rPr>
          <w:rFonts w:hint="eastAsia" w:ascii="宋体" w:hAnsi="宋体" w:eastAsia="宋体" w:cs="宋体"/>
          <w:b/>
          <w:snapToGrid w:val="0"/>
          <w:sz w:val="24"/>
          <w:szCs w:val="24"/>
          <w:highlight w:val="none"/>
        </w:rPr>
      </w:pPr>
      <w:bookmarkStart w:id="263" w:name="_Toc422141938"/>
      <w:bookmarkStart w:id="264" w:name="_Toc203475074"/>
      <w:r>
        <w:rPr>
          <w:rFonts w:hint="eastAsia" w:ascii="宋体" w:hAnsi="宋体" w:eastAsia="宋体" w:cs="宋体"/>
          <w:b/>
          <w:snapToGrid w:val="0"/>
          <w:sz w:val="24"/>
          <w:szCs w:val="24"/>
          <w:highlight w:val="none"/>
        </w:rPr>
        <w:t xml:space="preserve">  </w:t>
      </w:r>
      <w:bookmarkStart w:id="265" w:name="_Toc31231"/>
      <w:bookmarkStart w:id="266" w:name="_Toc511500404"/>
      <w:bookmarkStart w:id="267" w:name="_Toc325815160"/>
      <w:bookmarkStart w:id="268" w:name="_Toc10723"/>
      <w:bookmarkStart w:id="269" w:name="_Toc16185"/>
      <w:bookmarkStart w:id="270" w:name="_Toc14854"/>
      <w:bookmarkStart w:id="271" w:name="_Toc30343"/>
      <w:bookmarkStart w:id="272" w:name="_Toc1682"/>
      <w:bookmarkStart w:id="273" w:name="_Toc5122"/>
      <w:r>
        <w:rPr>
          <w:rFonts w:hint="eastAsia" w:ascii="宋体" w:hAnsi="宋体" w:eastAsia="宋体" w:cs="宋体"/>
          <w:b/>
          <w:snapToGrid w:val="0"/>
          <w:sz w:val="24"/>
          <w:szCs w:val="24"/>
          <w:highlight w:val="none"/>
        </w:rPr>
        <w:t>会计师事务所的聘任</w:t>
      </w:r>
      <w:bookmarkEnd w:id="263"/>
      <w:bookmarkEnd w:id="264"/>
      <w:bookmarkEnd w:id="265"/>
      <w:bookmarkEnd w:id="266"/>
      <w:bookmarkEnd w:id="267"/>
      <w:bookmarkEnd w:id="268"/>
      <w:bookmarkEnd w:id="269"/>
      <w:bookmarkEnd w:id="270"/>
      <w:bookmarkEnd w:id="271"/>
      <w:bookmarkEnd w:id="272"/>
      <w:bookmarkEnd w:id="273"/>
    </w:p>
    <w:p w14:paraId="63E20B88">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公司聘</w:t>
      </w:r>
      <w:r>
        <w:rPr>
          <w:rFonts w:hint="eastAsia" w:ascii="宋体" w:hAnsi="宋体" w:cs="宋体"/>
          <w:snapToGrid w:val="0"/>
          <w:sz w:val="24"/>
          <w:szCs w:val="22"/>
          <w:highlight w:val="none"/>
        </w:rPr>
        <w:t>用符合《证券法》规定</w:t>
      </w:r>
      <w:r>
        <w:rPr>
          <w:rFonts w:hint="eastAsia" w:ascii="宋体" w:hAnsi="宋体" w:cs="宋体"/>
          <w:snapToGrid w:val="0"/>
          <w:sz w:val="24"/>
          <w:highlight w:val="none"/>
        </w:rPr>
        <w:t>的会计师事务所进行会计报表审计、净资产验证及其他相关的咨询服务等业务，聘期一年，可以续聘。</w:t>
      </w:r>
    </w:p>
    <w:p w14:paraId="4E5C4A50">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公司聘用会计师事务所必须由股东大会决定，董事会不得在股东大会决定前委任会计师事务所。</w:t>
      </w:r>
    </w:p>
    <w:p w14:paraId="5BCC1C5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公司保证向聘用的会计师事务所提供真实、完整的会计凭证、会计账簿、财务会计报告及其他会计资料，不得拒绝、隐匿、谎报。</w:t>
      </w:r>
    </w:p>
    <w:p w14:paraId="69D6071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会计师事务所的审计费用由股东大会决定。</w:t>
      </w:r>
    </w:p>
    <w:p w14:paraId="29B6985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公司解聘或者不再续聘会计师事务所时，提前15天事先通知会计师事务所，公司股东大会就解聘会计师事务所进行表决时，允许会计师事务所陈述意见。</w:t>
      </w:r>
    </w:p>
    <w:p w14:paraId="673A76A9">
      <w:pPr>
        <w:spacing w:line="360" w:lineRule="auto"/>
        <w:ind w:firstLine="480" w:firstLineChars="200"/>
        <w:rPr>
          <w:rFonts w:hint="eastAsia" w:ascii="宋体" w:hAnsi="宋体" w:cs="宋体"/>
          <w:snapToGrid w:val="0"/>
          <w:highlight w:val="none"/>
        </w:rPr>
      </w:pPr>
      <w:r>
        <w:rPr>
          <w:rFonts w:hint="eastAsia" w:ascii="宋体" w:hAnsi="宋体" w:cs="宋体"/>
          <w:snapToGrid w:val="0"/>
          <w:sz w:val="24"/>
          <w:highlight w:val="none"/>
        </w:rPr>
        <w:t>会计师事务所提出辞聘的，应当向股东大会说明公司有无不当情形。</w:t>
      </w:r>
    </w:p>
    <w:p w14:paraId="55793B64">
      <w:pPr>
        <w:pStyle w:val="2"/>
        <w:numPr>
          <w:ilvl w:val="0"/>
          <w:numId w:val="0"/>
        </w:numPr>
        <w:spacing w:before="0" w:after="0" w:line="360" w:lineRule="auto"/>
        <w:rPr>
          <w:rFonts w:hint="eastAsia" w:ascii="宋体" w:hAnsi="宋体" w:eastAsia="宋体" w:cs="宋体"/>
          <w:b/>
          <w:kern w:val="0"/>
          <w:sz w:val="30"/>
          <w:szCs w:val="30"/>
          <w:highlight w:val="none"/>
        </w:rPr>
      </w:pPr>
      <w:bookmarkStart w:id="274" w:name="_Toc29312"/>
      <w:bookmarkStart w:id="275" w:name="_Toc203475075"/>
      <w:bookmarkStart w:id="276" w:name="_Toc422141939"/>
      <w:bookmarkStart w:id="277" w:name="_Toc325815161"/>
      <w:bookmarkStart w:id="278" w:name="_Toc410251087"/>
      <w:bookmarkStart w:id="279" w:name="_Toc16320"/>
      <w:bookmarkStart w:id="280" w:name="_Toc27208"/>
      <w:bookmarkStart w:id="281" w:name="_Toc16527"/>
      <w:bookmarkStart w:id="282" w:name="_Toc1484"/>
      <w:bookmarkStart w:id="283" w:name="_Toc24260"/>
      <w:bookmarkStart w:id="284" w:name="_Toc17237"/>
      <w:r>
        <w:rPr>
          <w:rFonts w:hint="eastAsia" w:ascii="宋体" w:hAnsi="宋体" w:eastAsia="宋体" w:cs="宋体"/>
          <w:b/>
          <w:kern w:val="0"/>
          <w:sz w:val="30"/>
          <w:szCs w:val="30"/>
          <w:highlight w:val="none"/>
        </w:rPr>
        <w:t>第九章  通知</w:t>
      </w:r>
      <w:bookmarkEnd w:id="274"/>
      <w:bookmarkEnd w:id="275"/>
      <w:bookmarkEnd w:id="276"/>
      <w:bookmarkEnd w:id="277"/>
      <w:r>
        <w:rPr>
          <w:rFonts w:hint="eastAsia" w:ascii="宋体" w:hAnsi="宋体" w:eastAsia="宋体" w:cs="宋体"/>
          <w:b/>
          <w:kern w:val="0"/>
          <w:sz w:val="30"/>
          <w:szCs w:val="30"/>
          <w:highlight w:val="none"/>
        </w:rPr>
        <w:t>和公告</w:t>
      </w:r>
      <w:bookmarkEnd w:id="278"/>
      <w:bookmarkEnd w:id="279"/>
      <w:bookmarkEnd w:id="280"/>
      <w:bookmarkEnd w:id="281"/>
      <w:bookmarkEnd w:id="282"/>
      <w:bookmarkEnd w:id="283"/>
      <w:bookmarkEnd w:id="284"/>
    </w:p>
    <w:p w14:paraId="72284775">
      <w:pPr>
        <w:pStyle w:val="33"/>
        <w:numPr>
          <w:ilvl w:val="0"/>
          <w:numId w:val="9"/>
        </w:numPr>
        <w:tabs>
          <w:tab w:val="left" w:pos="1155"/>
          <w:tab w:val="clear" w:pos="1533"/>
        </w:tabs>
        <w:spacing w:before="0" w:after="0" w:line="360" w:lineRule="auto"/>
        <w:rPr>
          <w:rFonts w:hint="eastAsia" w:ascii="宋体" w:hAnsi="宋体" w:eastAsia="宋体" w:cs="宋体"/>
          <w:b/>
          <w:sz w:val="24"/>
          <w:szCs w:val="24"/>
          <w:highlight w:val="none"/>
        </w:rPr>
      </w:pPr>
      <w:bookmarkStart w:id="285" w:name="_Toc3958"/>
      <w:bookmarkStart w:id="286" w:name="_Toc1667512339"/>
      <w:bookmarkStart w:id="287" w:name="_Toc22468"/>
      <w:bookmarkStart w:id="288" w:name="_Toc20641"/>
      <w:bookmarkStart w:id="289" w:name="_Toc18610"/>
      <w:bookmarkStart w:id="290" w:name="_Toc4530"/>
      <w:bookmarkStart w:id="291" w:name="_Toc26744"/>
      <w:r>
        <w:rPr>
          <w:rFonts w:hint="eastAsia" w:ascii="宋体" w:hAnsi="宋体" w:eastAsia="宋体" w:cs="宋体"/>
          <w:b/>
          <w:snapToGrid w:val="0"/>
          <w:sz w:val="24"/>
          <w:szCs w:val="24"/>
          <w:highlight w:val="none"/>
        </w:rPr>
        <w:t>通知</w:t>
      </w:r>
      <w:bookmarkEnd w:id="285"/>
      <w:bookmarkEnd w:id="286"/>
      <w:bookmarkEnd w:id="287"/>
      <w:bookmarkEnd w:id="288"/>
      <w:bookmarkEnd w:id="289"/>
      <w:bookmarkEnd w:id="290"/>
      <w:bookmarkEnd w:id="291"/>
    </w:p>
    <w:p w14:paraId="1474767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公司的通知以下列形式发出：</w:t>
      </w:r>
    </w:p>
    <w:p w14:paraId="708DB86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（一）以专人送出；</w:t>
      </w:r>
    </w:p>
    <w:p w14:paraId="38CCF67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（二）以邮件方式送出；</w:t>
      </w:r>
    </w:p>
    <w:p w14:paraId="641F589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（三）以公告方式进行；</w:t>
      </w:r>
    </w:p>
    <w:p w14:paraId="44A86CD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（四）本章程规定的其他形式。</w:t>
      </w:r>
    </w:p>
    <w:p w14:paraId="13AED02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公司发出通知，以公告方式进行的，一经公告，视为所有相关人员收到通知。</w:t>
      </w:r>
    </w:p>
    <w:p w14:paraId="20C67EE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公司召开股东大会的会议通知，以公告方式发出。</w:t>
      </w:r>
    </w:p>
    <w:p w14:paraId="760CADF2">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公司召开董事会的会议通知，以专人送出、信函、传真、数据电文等方式发出。</w:t>
      </w:r>
    </w:p>
    <w:p w14:paraId="7E3D7BC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公司召开监事会的会议通知，以专人送出、信函、传真、数据电文等方式发出。</w:t>
      </w:r>
    </w:p>
    <w:p w14:paraId="157948E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通知以专人送出的，由被送达人在送达回执上签名（或盖章），被送达人签收日期为送达日期；公司通知以邮件送出的，自交付邮局之日起第7个工作日为送达日期；公司通知以公告方式送出的，第一次公告刊登日为送达日期；公司通知以电子邮件发出的，自发出日为送达日期；公司通知以传真发出的，以传真机发出的传真记录时间为送达日期。</w:t>
      </w:r>
    </w:p>
    <w:p w14:paraId="131F63A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因意外遗漏未向某有权得到通知的人送出会议通知或者该等人没有收到会议通知，会议及会议作出的决议并不因此无效。</w:t>
      </w:r>
    </w:p>
    <w:p w14:paraId="28C84851">
      <w:pPr>
        <w:pStyle w:val="33"/>
        <w:numPr>
          <w:ilvl w:val="0"/>
          <w:numId w:val="9"/>
        </w:numPr>
        <w:tabs>
          <w:tab w:val="left" w:pos="1155"/>
          <w:tab w:val="clear" w:pos="1533"/>
        </w:tabs>
        <w:spacing w:before="0" w:after="0" w:line="360" w:lineRule="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 xml:space="preserve">  </w:t>
      </w:r>
      <w:bookmarkStart w:id="292" w:name="_Toc29741"/>
      <w:bookmarkStart w:id="293" w:name="_Toc8872"/>
      <w:bookmarkStart w:id="294" w:name="_Toc1218288223"/>
      <w:bookmarkStart w:id="295" w:name="_Toc31587"/>
      <w:bookmarkStart w:id="296" w:name="_Toc32654"/>
      <w:bookmarkStart w:id="297" w:name="_Toc1004"/>
      <w:bookmarkStart w:id="298" w:name="_Toc11341"/>
      <w:r>
        <w:rPr>
          <w:rFonts w:hint="eastAsia" w:ascii="宋体" w:hAnsi="宋体" w:eastAsia="宋体" w:cs="宋体"/>
          <w:b/>
          <w:snapToGrid w:val="0"/>
          <w:sz w:val="24"/>
          <w:szCs w:val="24"/>
          <w:highlight w:val="none"/>
        </w:rPr>
        <w:t>公告</w:t>
      </w:r>
      <w:bookmarkEnd w:id="292"/>
      <w:bookmarkEnd w:id="293"/>
      <w:bookmarkEnd w:id="294"/>
      <w:bookmarkEnd w:id="295"/>
      <w:bookmarkEnd w:id="296"/>
      <w:bookmarkEnd w:id="297"/>
      <w:bookmarkEnd w:id="298"/>
    </w:p>
    <w:p w14:paraId="2BF439D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公司指定《证券时报》及/或其他证券类刊物及巨潮资讯网（www.cninfo.com.cn）为刊登公司公告和其他需要披露信息的媒体。</w:t>
      </w:r>
    </w:p>
    <w:p w14:paraId="4CCEE81B">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299" w:name="_Toc422141940"/>
      <w:bookmarkStart w:id="300" w:name="_Toc25703"/>
      <w:bookmarkStart w:id="301" w:name="_Toc28677"/>
      <w:bookmarkStart w:id="302" w:name="_Toc7589"/>
      <w:bookmarkStart w:id="303" w:name="_Toc203475077"/>
      <w:bookmarkStart w:id="304" w:name="_Toc14771"/>
      <w:bookmarkStart w:id="305" w:name="_Toc9809"/>
      <w:bookmarkStart w:id="306" w:name="_Toc23884"/>
      <w:bookmarkStart w:id="307" w:name="_Toc1501"/>
      <w:bookmarkStart w:id="308" w:name="_Toc1661073463"/>
      <w:bookmarkStart w:id="309" w:name="_Toc325815162"/>
      <w:r>
        <w:rPr>
          <w:rFonts w:hint="eastAsia" w:ascii="宋体" w:hAnsi="宋体" w:eastAsia="宋体" w:cs="宋体"/>
          <w:b/>
          <w:kern w:val="0"/>
          <w:sz w:val="30"/>
          <w:szCs w:val="30"/>
          <w:highlight w:val="none"/>
        </w:rPr>
        <w:t>第十章  合并、分立、增资、减资、解散和清算</w:t>
      </w:r>
      <w:bookmarkEnd w:id="299"/>
      <w:bookmarkEnd w:id="300"/>
      <w:bookmarkEnd w:id="301"/>
      <w:bookmarkEnd w:id="302"/>
      <w:bookmarkEnd w:id="303"/>
      <w:bookmarkEnd w:id="304"/>
      <w:bookmarkEnd w:id="305"/>
      <w:bookmarkEnd w:id="306"/>
      <w:bookmarkEnd w:id="307"/>
      <w:bookmarkEnd w:id="308"/>
      <w:bookmarkEnd w:id="309"/>
    </w:p>
    <w:p w14:paraId="69498698">
      <w:pPr>
        <w:pStyle w:val="34"/>
        <w:tabs>
          <w:tab w:val="left" w:pos="1155"/>
          <w:tab w:val="clear" w:pos="1533"/>
        </w:tabs>
        <w:spacing w:before="0" w:after="0" w:line="360" w:lineRule="auto"/>
        <w:ind w:hanging="2"/>
        <w:rPr>
          <w:rFonts w:hint="eastAsia" w:ascii="宋体" w:hAnsi="宋体" w:eastAsia="宋体" w:cs="宋体"/>
          <w:b/>
          <w:snapToGrid w:val="0"/>
          <w:sz w:val="24"/>
          <w:szCs w:val="24"/>
          <w:highlight w:val="none"/>
        </w:rPr>
      </w:pPr>
      <w:bookmarkStart w:id="310" w:name="_Toc24373"/>
      <w:bookmarkStart w:id="311" w:name="_Toc31949"/>
      <w:bookmarkStart w:id="312" w:name="_Toc422141941"/>
      <w:bookmarkStart w:id="313" w:name="_Toc203475078"/>
      <w:bookmarkStart w:id="314" w:name="_Toc29047"/>
      <w:bookmarkStart w:id="315" w:name="_Toc374281641"/>
      <w:bookmarkStart w:id="316" w:name="_Toc325815163"/>
      <w:bookmarkStart w:id="317" w:name="_Toc1116"/>
      <w:bookmarkStart w:id="318" w:name="_Toc25706"/>
      <w:bookmarkStart w:id="319" w:name="_Toc12829"/>
      <w:bookmarkStart w:id="320" w:name="_Toc28708"/>
      <w:r>
        <w:rPr>
          <w:rFonts w:hint="eastAsia" w:ascii="宋体" w:hAnsi="宋体" w:eastAsia="宋体" w:cs="宋体"/>
          <w:b/>
          <w:snapToGrid w:val="0"/>
          <w:sz w:val="24"/>
          <w:szCs w:val="24"/>
          <w:highlight w:val="none"/>
        </w:rPr>
        <w:t>合并、分立、增资和减资</w:t>
      </w:r>
      <w:bookmarkEnd w:id="310"/>
      <w:bookmarkEnd w:id="311"/>
      <w:bookmarkEnd w:id="312"/>
      <w:bookmarkEnd w:id="313"/>
      <w:bookmarkEnd w:id="314"/>
      <w:bookmarkEnd w:id="315"/>
      <w:bookmarkEnd w:id="316"/>
      <w:bookmarkEnd w:id="317"/>
      <w:bookmarkEnd w:id="318"/>
      <w:bookmarkEnd w:id="319"/>
      <w:bookmarkEnd w:id="320"/>
    </w:p>
    <w:p w14:paraId="622C674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公司合并可以采取吸收合并或者新设合并。</w:t>
      </w:r>
    </w:p>
    <w:p w14:paraId="7043DDDB">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一个公司吸收其他公司为吸收合并，被吸收的公司解散。两个以上公司合并设立一个新的公司为新设合并，合并各方解散。</w:t>
      </w:r>
    </w:p>
    <w:p w14:paraId="4F88F8B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合并，应当由合并各方签订合并协议，并编制资产负债表及财产清单。公司应当自作出合并决议之日起10日内通知债权人，并于30日在中国证监会指定披露上市公司信息的媒体上公告。债权人自接到通知书之日起30日内，未接到通知书的自公告之日起45日内，可以要求公司清偿债务或者提供相应的担保。</w:t>
      </w:r>
    </w:p>
    <w:p w14:paraId="676DF87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公司合并时，合并各方的债权、债务，由合并后存续的公司或者新设的公司承继。</w:t>
      </w:r>
    </w:p>
    <w:p w14:paraId="2DADABC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公司分立，其财产作相应的分割。</w:t>
      </w:r>
    </w:p>
    <w:p w14:paraId="383FC6B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公司分立，应当编制资产负债表及财产清单。公司应当自作出分立决议之日起10日内通知债权人，并于30日内在中国证监会指定披露上市公司信息的媒体上公告。</w:t>
      </w:r>
    </w:p>
    <w:p w14:paraId="7E66E41C">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公司分立前的债务由分立后的公司承担连带责任。但是，公司在分立前与债权人就债务清偿达成的书面协议另有约定的除外。</w:t>
      </w:r>
    </w:p>
    <w:p w14:paraId="49A491D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公司需要减少注册资本时，必须编制资产负债表及财产清单。</w:t>
      </w:r>
    </w:p>
    <w:p w14:paraId="65F1C20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应当自作出减少注册资本决议之日起10日内通知债权人，并于30日内在中国证监会指定披露上市公司信息的媒体上公告。债权人自接到通知书之日起30日内，未接到通知书的自公告之日起45日内，有权要求公司清偿债务或者提供相应的担保。</w:t>
      </w:r>
    </w:p>
    <w:p w14:paraId="0579FDB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公司合并或者分立，登记事项发生变更的，应当依法向公司登记机关办理变更登记；公司解散的，应当依法办理公司注销登记；设立新公司的，应当依法办理公司设立登记。</w:t>
      </w:r>
    </w:p>
    <w:p w14:paraId="3D32C61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公司增加或者减少注册资本，应当依法向公司登记机关办理变更登记。</w:t>
      </w:r>
    </w:p>
    <w:p w14:paraId="1B329FBA">
      <w:pPr>
        <w:pStyle w:val="34"/>
        <w:tabs>
          <w:tab w:val="clear" w:pos="1533"/>
        </w:tabs>
        <w:spacing w:before="0" w:after="0" w:line="360" w:lineRule="auto"/>
        <w:rPr>
          <w:rFonts w:hint="eastAsia" w:ascii="宋体" w:hAnsi="宋体" w:eastAsia="宋体" w:cs="宋体"/>
          <w:b/>
          <w:snapToGrid w:val="0"/>
          <w:sz w:val="24"/>
          <w:szCs w:val="24"/>
          <w:highlight w:val="none"/>
        </w:rPr>
      </w:pPr>
      <w:bookmarkStart w:id="321" w:name="_Toc203475079"/>
      <w:bookmarkStart w:id="322" w:name="_Toc422141942"/>
      <w:r>
        <w:rPr>
          <w:rFonts w:hint="eastAsia" w:ascii="宋体" w:hAnsi="宋体" w:eastAsia="宋体" w:cs="宋体"/>
          <w:b/>
          <w:snapToGrid w:val="0"/>
          <w:sz w:val="24"/>
          <w:szCs w:val="24"/>
          <w:highlight w:val="none"/>
        </w:rPr>
        <w:t xml:space="preserve">   </w:t>
      </w:r>
      <w:bookmarkStart w:id="323" w:name="_Toc325815164"/>
      <w:bookmarkStart w:id="324" w:name="_Toc27755"/>
      <w:bookmarkStart w:id="325" w:name="_Toc23324"/>
      <w:bookmarkStart w:id="326" w:name="_Toc571938224"/>
      <w:bookmarkStart w:id="327" w:name="_Toc9713"/>
      <w:bookmarkStart w:id="328" w:name="_Toc6666"/>
      <w:bookmarkStart w:id="329" w:name="_Toc3404"/>
      <w:bookmarkStart w:id="330" w:name="_Toc13391"/>
      <w:bookmarkStart w:id="331" w:name="_Toc16241"/>
      <w:r>
        <w:rPr>
          <w:rFonts w:hint="eastAsia" w:ascii="宋体" w:hAnsi="宋体" w:eastAsia="宋体" w:cs="宋体"/>
          <w:b/>
          <w:snapToGrid w:val="0"/>
          <w:sz w:val="24"/>
          <w:szCs w:val="24"/>
          <w:highlight w:val="none"/>
        </w:rPr>
        <w:t>解散和清算</w:t>
      </w:r>
      <w:bookmarkEnd w:id="321"/>
      <w:bookmarkEnd w:id="322"/>
      <w:bookmarkEnd w:id="323"/>
      <w:bookmarkEnd w:id="324"/>
      <w:bookmarkEnd w:id="325"/>
      <w:bookmarkEnd w:id="326"/>
      <w:bookmarkEnd w:id="327"/>
      <w:bookmarkEnd w:id="328"/>
      <w:bookmarkEnd w:id="329"/>
      <w:bookmarkEnd w:id="330"/>
      <w:bookmarkEnd w:id="331"/>
    </w:p>
    <w:p w14:paraId="4A6BD63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公司因下列原因解散：</w:t>
      </w:r>
    </w:p>
    <w:p w14:paraId="5F59094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（一）本章程规定的营业期限届满或者本章程规定的其他解散事由出现；</w:t>
      </w:r>
    </w:p>
    <w:p w14:paraId="1743238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（二）股东大会决议解散；</w:t>
      </w:r>
    </w:p>
    <w:p w14:paraId="6209521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（三）因公司合并或者分立需要解散；</w:t>
      </w:r>
    </w:p>
    <w:p w14:paraId="53BF859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（四）依法被吊销营业执照、责令关闭或者被撤销；</w:t>
      </w:r>
    </w:p>
    <w:p w14:paraId="684B6640">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（五）公司经营管理发生严重困难，继续存续会使股东利益受到重大损失，通过其他途径不能解决的，持有公司全部股东表决权10%以上的股东，可以请求人民法院解散公司。</w:t>
      </w:r>
    </w:p>
    <w:p w14:paraId="09B5A63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公司有本章程第一百</w:t>
      </w:r>
      <w:r>
        <w:rPr>
          <w:rFonts w:hint="eastAsia" w:ascii="宋体" w:hAnsi="宋体" w:cs="宋体"/>
          <w:snapToGrid w:val="0"/>
          <w:sz w:val="24"/>
          <w:highlight w:val="none"/>
          <w:lang w:val="en-US" w:eastAsia="zh-CN"/>
        </w:rPr>
        <w:t>九十</w:t>
      </w:r>
      <w:r>
        <w:rPr>
          <w:rFonts w:hint="eastAsia" w:ascii="宋体" w:hAnsi="宋体" w:cs="宋体"/>
          <w:snapToGrid w:val="0"/>
          <w:sz w:val="24"/>
          <w:highlight w:val="none"/>
        </w:rPr>
        <w:t>条第（一）项情形的，可以通过修改本章程而存续。</w:t>
      </w:r>
    </w:p>
    <w:p w14:paraId="2D470B4A">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依照前款规定修改本章程，须经出席股东大会会议的股东所持表决权的2/3以上通过。</w:t>
      </w:r>
    </w:p>
    <w:p w14:paraId="7B99B43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公司因本章程第一百</w:t>
      </w:r>
      <w:r>
        <w:rPr>
          <w:rFonts w:hint="eastAsia" w:ascii="宋体" w:hAnsi="宋体" w:cs="宋体"/>
          <w:snapToGrid w:val="0"/>
          <w:sz w:val="24"/>
          <w:highlight w:val="none"/>
          <w:lang w:val="en-US" w:eastAsia="zh-CN"/>
        </w:rPr>
        <w:t>九十</w:t>
      </w:r>
      <w:r>
        <w:rPr>
          <w:rFonts w:hint="eastAsia" w:ascii="宋体" w:hAnsi="宋体" w:cs="宋体"/>
          <w:snapToGrid w:val="0"/>
          <w:sz w:val="24"/>
          <w:highlight w:val="none"/>
        </w:rPr>
        <w:t>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14:paraId="360D17C7">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清算组在清算期间行使下列职权：</w:t>
      </w:r>
    </w:p>
    <w:p w14:paraId="69C54FF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（一）清理公司财产，分别编制资产负债表和财产清单；</w:t>
      </w:r>
    </w:p>
    <w:p w14:paraId="75CF93C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（二）通知、公告债权人；</w:t>
      </w:r>
    </w:p>
    <w:p w14:paraId="527DE37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w:t>
      </w:r>
      <w:r>
        <w:rPr>
          <w:rFonts w:hint="eastAsia" w:ascii="宋体" w:hAnsi="宋体" w:cs="宋体"/>
          <w:snapToGrid w:val="0"/>
          <w:sz w:val="24"/>
          <w:highlight w:val="none"/>
          <w:lang w:val="en-US" w:eastAsia="zh-CN"/>
        </w:rPr>
        <w:t>三</w:t>
      </w:r>
      <w:r>
        <w:rPr>
          <w:rFonts w:hint="eastAsia" w:ascii="宋体" w:hAnsi="宋体" w:cs="宋体"/>
          <w:snapToGrid w:val="0"/>
          <w:sz w:val="24"/>
          <w:highlight w:val="none"/>
        </w:rPr>
        <w:t>）处理与清算有关的公司未了结的业务；</w:t>
      </w:r>
    </w:p>
    <w:p w14:paraId="0F9F039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（四）清缴所欠税款以及清算过程中产生的税款；</w:t>
      </w:r>
    </w:p>
    <w:p w14:paraId="22C6A3B1">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（五）清理债权、债务；</w:t>
      </w:r>
    </w:p>
    <w:p w14:paraId="06A1873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（六）处理公司清偿债务后的剩余财产；</w:t>
      </w:r>
    </w:p>
    <w:p w14:paraId="27F9723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（七）代表公司参与民事诉讼活动。</w:t>
      </w:r>
    </w:p>
    <w:p w14:paraId="01ED3E11">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清算组应当自成立之日起10日内通知债权人，并于60日内在中国证监会指定披露上市公司信息的媒体上公告。债权人应当自接到通知书之日起30日内，未接到通知书的自公告之日起45日内，向清算组申报其债权。</w:t>
      </w:r>
    </w:p>
    <w:p w14:paraId="6FA8AC2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债权人申报债权，应当说明债权的有关事项，并提供证明材料。清算组应当对债权进行登记。</w:t>
      </w:r>
    </w:p>
    <w:p w14:paraId="48243967">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在申报债权期间，清算组不得对债权人进行清偿。</w:t>
      </w:r>
    </w:p>
    <w:p w14:paraId="0FDB9E2A">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清算组在清理公司财产、编制资产负债表和财产清单后，应当制定清算方案，并报股东大会或者人民法院确认。</w:t>
      </w:r>
    </w:p>
    <w:p w14:paraId="1906D66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公司财产在分别支付清算费用、职工的工资、社会保险费用和法定补偿金，缴纳所欠税款，清偿公司债务后的剩余财产，公司按照股东持有的股份比例分配。</w:t>
      </w:r>
    </w:p>
    <w:p w14:paraId="7F2399ED">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清算期间，公司存续，但不能开展与清算无关的经营活动。公司财产在未按前款规定清偿前，将不会分配给股东。</w:t>
      </w:r>
    </w:p>
    <w:p w14:paraId="273DA170">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清算组在清理公司财产、编制资产负债表和财产清单后，应当制定清算方案，并报股东大会或者人民法院确认。</w:t>
      </w:r>
    </w:p>
    <w:p w14:paraId="0475FBE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公司财产在分别支付清算费用、职工的工资、社会保险费用和法定补偿金，缴纳所欠税款，清偿公司债务后的剩余财产，公司按照股东持有的股份比例分配。</w:t>
      </w:r>
    </w:p>
    <w:p w14:paraId="4521B8EC">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清算期间，公司存续，但不能开展与清算无关的经营活动。公司财产在未按前款规定清偿前，将不会分配给股东。</w:t>
      </w:r>
    </w:p>
    <w:p w14:paraId="6E029B3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清算组在清理公司财产、编制资产负债表和财产清单后，发现公司财产不足清偿债务的，应当依法向人民法院申请宣告破产。发现公司财产不足清偿债务的，应当依法向人民法院申请宣告破产。</w:t>
      </w:r>
    </w:p>
    <w:p w14:paraId="4FC6DB13">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公司经人民法院裁定宣告破产后，清算组应当将清算事务移交给人民法院。</w:t>
      </w:r>
    </w:p>
    <w:p w14:paraId="4854A6A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公司清算结束后，清算组应当制作清算报告，报股东大会或者人民法院确认，并报送公司登记机关，申请注销公司登记，公告公司终止。</w:t>
      </w:r>
    </w:p>
    <w:p w14:paraId="39CA091E">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 xml:space="preserve"> 清算组成员应当忠于职守，依法履行清算义务。</w:t>
      </w:r>
    </w:p>
    <w:p w14:paraId="2EDA3049">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清算组成员不得利用职权收受贿赂或者其他非法收入，不得侵占公司财产。</w:t>
      </w:r>
    </w:p>
    <w:p w14:paraId="4EF55F7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清算组成员因故意或者重大过失给公司或者债权人造成损失的，应当承担赔偿责任。</w:t>
      </w:r>
    </w:p>
    <w:p w14:paraId="3EB98485">
      <w:pPr>
        <w:numPr>
          <w:ilvl w:val="0"/>
          <w:numId w:val="7"/>
        </w:numPr>
        <w:spacing w:line="360" w:lineRule="auto"/>
        <w:rPr>
          <w:rFonts w:hint="eastAsia" w:ascii="宋体" w:hAnsi="宋体" w:cs="宋体"/>
          <w:snapToGrid w:val="0"/>
          <w:highlight w:val="none"/>
        </w:rPr>
      </w:pPr>
      <w:r>
        <w:rPr>
          <w:rFonts w:hint="eastAsia" w:ascii="宋体" w:hAnsi="宋体" w:cs="宋体"/>
          <w:snapToGrid w:val="0"/>
          <w:sz w:val="24"/>
          <w:highlight w:val="none"/>
        </w:rPr>
        <w:t>公司被依法宣告破产的，依照有关企业破产的法律实施破产清算。</w:t>
      </w:r>
    </w:p>
    <w:p w14:paraId="69DACBD5">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332" w:name="_Toc9430"/>
      <w:bookmarkStart w:id="333" w:name="_Toc21552"/>
      <w:bookmarkStart w:id="334" w:name="_Toc16962"/>
      <w:bookmarkStart w:id="335" w:name="_Toc428926796"/>
      <w:bookmarkStart w:id="336" w:name="_Toc325815165"/>
      <w:bookmarkStart w:id="337" w:name="_Toc422141943"/>
      <w:bookmarkStart w:id="338" w:name="_Toc2267"/>
      <w:bookmarkStart w:id="339" w:name="_Toc6817"/>
      <w:bookmarkStart w:id="340" w:name="_Toc5684"/>
      <w:bookmarkStart w:id="341" w:name="_Toc22271"/>
      <w:r>
        <w:rPr>
          <w:rFonts w:hint="eastAsia" w:ascii="宋体" w:hAnsi="宋体" w:eastAsia="宋体" w:cs="宋体"/>
          <w:b/>
          <w:kern w:val="0"/>
          <w:sz w:val="30"/>
          <w:szCs w:val="30"/>
          <w:highlight w:val="none"/>
        </w:rPr>
        <w:t xml:space="preserve">第十二章  </w:t>
      </w:r>
      <w:bookmarkStart w:id="342" w:name="_Toc203475080"/>
      <w:r>
        <w:rPr>
          <w:rFonts w:hint="eastAsia" w:ascii="宋体" w:hAnsi="宋体" w:eastAsia="宋体" w:cs="宋体"/>
          <w:b/>
          <w:kern w:val="0"/>
          <w:sz w:val="30"/>
          <w:szCs w:val="30"/>
          <w:highlight w:val="none"/>
        </w:rPr>
        <w:t>修改章程</w:t>
      </w:r>
      <w:bookmarkEnd w:id="332"/>
      <w:bookmarkEnd w:id="333"/>
      <w:bookmarkEnd w:id="334"/>
      <w:bookmarkEnd w:id="335"/>
      <w:bookmarkEnd w:id="336"/>
      <w:bookmarkEnd w:id="337"/>
      <w:bookmarkEnd w:id="338"/>
      <w:bookmarkEnd w:id="339"/>
      <w:bookmarkEnd w:id="340"/>
      <w:bookmarkEnd w:id="341"/>
      <w:bookmarkEnd w:id="342"/>
    </w:p>
    <w:p w14:paraId="72250966">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有下列情形之一的，公司应当修改章程：</w:t>
      </w:r>
    </w:p>
    <w:p w14:paraId="74DA5EE5">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（一）《公司法》或有关法律、行政法规修改后，章程规定的事项与修改后的法律、行政法规的规定相抵触；</w:t>
      </w:r>
    </w:p>
    <w:p w14:paraId="3662E55F">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（二）公司的情况发生变化，与章程记载的事项不一致；</w:t>
      </w:r>
    </w:p>
    <w:p w14:paraId="31DED32E">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（三）股东大会决定修改章程。</w:t>
      </w:r>
    </w:p>
    <w:p w14:paraId="35661D63">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股东大会决议通过的章程修改事项应经主管机关审批的，须报主管机关批准；涉及公司登记事项的，依法办理变更登记。</w:t>
      </w:r>
    </w:p>
    <w:p w14:paraId="7AFD0E29">
      <w:pPr>
        <w:numPr>
          <w:ilvl w:val="0"/>
          <w:numId w:val="7"/>
        </w:numPr>
        <w:spacing w:line="360" w:lineRule="auto"/>
        <w:rPr>
          <w:rFonts w:hint="eastAsia" w:ascii="宋体" w:hAnsi="宋体" w:cs="宋体"/>
          <w:snapToGrid w:val="0"/>
          <w:highlight w:val="none"/>
        </w:rPr>
      </w:pPr>
      <w:r>
        <w:rPr>
          <w:rFonts w:hint="eastAsia" w:ascii="宋体" w:hAnsi="宋体" w:cs="宋体"/>
          <w:snapToGrid w:val="0"/>
          <w:sz w:val="24"/>
          <w:highlight w:val="none"/>
        </w:rPr>
        <w:t>董事会依照股东大会修改章程的决议和有关主管机关的审批意见修改本章程。章程修改事项属于法律、法规要求披露的信息，按规定予以公告。</w:t>
      </w:r>
    </w:p>
    <w:p w14:paraId="108D9B7F">
      <w:pPr>
        <w:pStyle w:val="2"/>
        <w:numPr>
          <w:ilvl w:val="0"/>
          <w:numId w:val="0"/>
        </w:numPr>
        <w:spacing w:before="0" w:after="0" w:line="360" w:lineRule="auto"/>
        <w:ind w:left="2"/>
        <w:rPr>
          <w:rFonts w:hint="eastAsia" w:ascii="宋体" w:hAnsi="宋体" w:eastAsia="宋体" w:cs="宋体"/>
          <w:b/>
          <w:kern w:val="0"/>
          <w:sz w:val="30"/>
          <w:szCs w:val="30"/>
          <w:highlight w:val="none"/>
        </w:rPr>
      </w:pPr>
      <w:bookmarkStart w:id="343" w:name="_Toc32360"/>
      <w:bookmarkStart w:id="344" w:name="_Toc6748"/>
      <w:bookmarkStart w:id="345" w:name="_Toc667"/>
      <w:bookmarkStart w:id="346" w:name="_Toc2017541040"/>
      <w:bookmarkStart w:id="347" w:name="_Toc12695"/>
      <w:bookmarkStart w:id="348" w:name="_Toc23045"/>
      <w:bookmarkStart w:id="349" w:name="_Toc8948"/>
      <w:bookmarkStart w:id="350" w:name="_Toc6628"/>
      <w:bookmarkStart w:id="351" w:name="_Toc325815166"/>
      <w:bookmarkStart w:id="352" w:name="_Toc422141944"/>
      <w:r>
        <w:rPr>
          <w:rFonts w:hint="eastAsia" w:ascii="宋体" w:hAnsi="宋体" w:eastAsia="宋体" w:cs="宋体"/>
          <w:b/>
          <w:kern w:val="0"/>
          <w:sz w:val="30"/>
          <w:szCs w:val="30"/>
          <w:highlight w:val="none"/>
        </w:rPr>
        <w:t xml:space="preserve">第十三章  </w:t>
      </w:r>
      <w:bookmarkStart w:id="353" w:name="_Toc203475081"/>
      <w:r>
        <w:rPr>
          <w:rFonts w:hint="eastAsia" w:ascii="宋体" w:hAnsi="宋体" w:eastAsia="宋体" w:cs="宋体"/>
          <w:b/>
          <w:kern w:val="0"/>
          <w:sz w:val="30"/>
          <w:szCs w:val="30"/>
          <w:highlight w:val="none"/>
        </w:rPr>
        <w:t>附则</w:t>
      </w:r>
      <w:bookmarkEnd w:id="343"/>
      <w:bookmarkEnd w:id="344"/>
      <w:bookmarkEnd w:id="345"/>
      <w:bookmarkEnd w:id="346"/>
      <w:bookmarkEnd w:id="347"/>
      <w:bookmarkEnd w:id="348"/>
      <w:bookmarkEnd w:id="349"/>
      <w:bookmarkEnd w:id="350"/>
      <w:bookmarkEnd w:id="351"/>
      <w:bookmarkEnd w:id="352"/>
      <w:bookmarkEnd w:id="353"/>
    </w:p>
    <w:p w14:paraId="0964BD1F">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释义</w:t>
      </w:r>
    </w:p>
    <w:p w14:paraId="0DF8C778">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（一）控股股东，是指其持有的普通股股份占公司股本总额50%以上的股东；持有股份的比例虽然不足50%，但依其持有的股份所享有的表决权已足以对股东大会的决议产生重大影响的股东。</w:t>
      </w:r>
    </w:p>
    <w:p w14:paraId="0C5337E2">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（二）实际控制人，是指虽不是公司的股东，但通过投资关系、协议或者其他安排，能够实际支配公司行为的人。</w:t>
      </w:r>
    </w:p>
    <w:p w14:paraId="6FD1E7E4">
      <w:pPr>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6EE503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董事会可依照章程的规定，制订章程细则。章程细则不得与章程的规定相抵触。</w:t>
      </w:r>
    </w:p>
    <w:p w14:paraId="2895F7AB">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本章程以中文书写，其他任何语种或不同版本的章程与本章程有歧义时，以在东莞市工商行政管理局最近一次核准登记后的中文版章程为准。</w:t>
      </w:r>
    </w:p>
    <w:p w14:paraId="6F9A301D">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本章程所称“以上”、“以内”、“以下”，都含本数；“以外”、“低于”、“多于”不含本数。</w:t>
      </w:r>
    </w:p>
    <w:p w14:paraId="61969C75">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本章程由公司董事会负责解释。</w:t>
      </w:r>
    </w:p>
    <w:p w14:paraId="01204464">
      <w:pPr>
        <w:numPr>
          <w:ilvl w:val="0"/>
          <w:numId w:val="7"/>
        </w:numPr>
        <w:spacing w:line="360" w:lineRule="auto"/>
        <w:rPr>
          <w:rFonts w:hint="eastAsia" w:ascii="宋体" w:hAnsi="宋体" w:cs="宋体"/>
          <w:snapToGrid w:val="0"/>
          <w:sz w:val="24"/>
          <w:highlight w:val="none"/>
        </w:rPr>
      </w:pPr>
      <w:r>
        <w:rPr>
          <w:rFonts w:hint="eastAsia" w:ascii="宋体" w:hAnsi="宋体" w:cs="宋体"/>
          <w:snapToGrid w:val="0"/>
          <w:sz w:val="24"/>
          <w:highlight w:val="none"/>
        </w:rPr>
        <w:t>本章程附件包括股东大会议事规则、董事会议事规则和监事会议事规则。</w:t>
      </w:r>
    </w:p>
    <w:p w14:paraId="0EEC425A">
      <w:pPr>
        <w:numPr>
          <w:ilvl w:val="0"/>
          <w:numId w:val="7"/>
        </w:numPr>
        <w:spacing w:line="360" w:lineRule="auto"/>
        <w:ind w:left="0" w:firstLine="420" w:firstLineChars="175"/>
        <w:rPr>
          <w:rFonts w:hint="eastAsia"/>
          <w:sz w:val="25"/>
          <w:highlight w:val="none"/>
        </w:rPr>
      </w:pPr>
      <w:r>
        <w:rPr>
          <w:rFonts w:hint="eastAsia" w:ascii="宋体" w:hAnsi="宋体" w:cs="宋体"/>
          <w:snapToGrid w:val="0"/>
          <w:sz w:val="24"/>
          <w:highlight w:val="none"/>
        </w:rPr>
        <w:t>本章程经股东大会审议通过之日起生效并施行。</w:t>
      </w:r>
    </w:p>
    <w:p w14:paraId="17BF853F">
      <w:pPr>
        <w:numPr>
          <w:ilvl w:val="0"/>
          <w:numId w:val="0"/>
        </w:numPr>
        <w:spacing w:line="360" w:lineRule="auto"/>
        <w:ind w:leftChars="175"/>
        <w:rPr>
          <w:rFonts w:hint="eastAsia" w:ascii="宋体" w:hAnsi="宋体" w:cs="宋体"/>
          <w:snapToGrid w:val="0"/>
          <w:sz w:val="24"/>
          <w:highlight w:val="none"/>
          <w:lang w:val="en-US" w:eastAsia="zh-CN"/>
        </w:rPr>
      </w:pPr>
      <w:r>
        <w:rPr>
          <w:rFonts w:hint="eastAsia" w:ascii="宋体" w:hAnsi="宋体" w:cs="宋体"/>
          <w:snapToGrid w:val="0"/>
          <w:sz w:val="24"/>
          <w:highlight w:val="none"/>
          <w:lang w:val="en-US" w:eastAsia="zh-CN"/>
        </w:rPr>
        <w:t xml:space="preserve">  </w:t>
      </w:r>
    </w:p>
    <w:p w14:paraId="4139BD4A">
      <w:pPr>
        <w:numPr>
          <w:ilvl w:val="0"/>
          <w:numId w:val="0"/>
        </w:numPr>
        <w:spacing w:line="360" w:lineRule="auto"/>
        <w:ind w:leftChars="175"/>
        <w:rPr>
          <w:rFonts w:hint="eastAsia" w:ascii="宋体" w:hAnsi="宋体" w:cs="宋体"/>
          <w:snapToGrid w:val="0"/>
          <w:sz w:val="24"/>
          <w:highlight w:val="none"/>
          <w:lang w:val="en-US" w:eastAsia="zh-CN"/>
        </w:rPr>
      </w:pPr>
    </w:p>
    <w:p w14:paraId="671239E1">
      <w:pPr>
        <w:numPr>
          <w:ilvl w:val="0"/>
          <w:numId w:val="0"/>
        </w:numPr>
        <w:spacing w:line="360" w:lineRule="auto"/>
        <w:ind w:leftChars="175"/>
        <w:rPr>
          <w:rFonts w:hint="eastAsia" w:ascii="宋体" w:hAnsi="宋体" w:cs="宋体"/>
          <w:snapToGrid w:val="0"/>
          <w:sz w:val="24"/>
          <w:highlight w:val="none"/>
          <w:lang w:val="en-US" w:eastAsia="zh-CN"/>
        </w:rPr>
      </w:pPr>
    </w:p>
    <w:p w14:paraId="78DABB3B">
      <w:pPr>
        <w:numPr>
          <w:ilvl w:val="0"/>
          <w:numId w:val="0"/>
        </w:numPr>
        <w:spacing w:line="360" w:lineRule="auto"/>
        <w:ind w:leftChars="175"/>
        <w:rPr>
          <w:rFonts w:hint="eastAsia" w:ascii="宋体" w:hAnsi="宋体" w:cs="宋体"/>
          <w:snapToGrid w:val="0"/>
          <w:sz w:val="24"/>
          <w:highlight w:val="none"/>
          <w:lang w:val="en-US" w:eastAsia="zh-CN"/>
        </w:rPr>
      </w:pPr>
    </w:p>
    <w:p w14:paraId="32BE4F3D">
      <w:pPr>
        <w:numPr>
          <w:ilvl w:val="0"/>
          <w:numId w:val="0"/>
        </w:numPr>
        <w:spacing w:line="360" w:lineRule="auto"/>
        <w:ind w:leftChars="175"/>
        <w:jc w:val="right"/>
        <w:rPr>
          <w:rFonts w:hint="eastAsia" w:ascii="宋体" w:hAnsi="宋体" w:cs="宋体"/>
          <w:snapToGrid w:val="0"/>
          <w:sz w:val="24"/>
          <w:highlight w:val="none"/>
          <w:lang w:val="en-US" w:eastAsia="zh-CN"/>
        </w:rPr>
      </w:pPr>
      <w:r>
        <w:rPr>
          <w:rFonts w:hint="eastAsia" w:ascii="宋体" w:hAnsi="宋体" w:cs="宋体"/>
          <w:snapToGrid w:val="0"/>
          <w:sz w:val="24"/>
          <w:highlight w:val="none"/>
          <w:lang w:val="en-US" w:eastAsia="zh-CN"/>
        </w:rPr>
        <w:t xml:space="preserve">      广东天元实业集团股份有限公司</w:t>
      </w:r>
    </w:p>
    <w:p w14:paraId="56C25BFF">
      <w:pPr>
        <w:numPr>
          <w:ilvl w:val="0"/>
          <w:numId w:val="0"/>
        </w:numPr>
        <w:spacing w:line="360" w:lineRule="auto"/>
        <w:ind w:leftChars="175"/>
        <w:jc w:val="right"/>
        <w:rPr>
          <w:rFonts w:hint="eastAsia" w:ascii="宋体" w:hAnsi="宋体" w:cs="宋体"/>
          <w:snapToGrid w:val="0"/>
          <w:sz w:val="24"/>
          <w:highlight w:val="none"/>
          <w:lang w:val="en-US" w:eastAsia="zh-CN"/>
        </w:rPr>
      </w:pPr>
      <w:r>
        <w:rPr>
          <w:rFonts w:hint="eastAsia" w:ascii="宋体" w:hAnsi="宋体" w:cs="宋体"/>
          <w:snapToGrid w:val="0"/>
          <w:sz w:val="24"/>
          <w:highlight w:val="none"/>
          <w:lang w:val="en-US" w:eastAsia="zh-CN"/>
        </w:rPr>
        <w:t xml:space="preserve">                                                     董事会</w:t>
      </w:r>
    </w:p>
    <w:p w14:paraId="4B18C783">
      <w:pPr>
        <w:numPr>
          <w:ilvl w:val="0"/>
          <w:numId w:val="0"/>
        </w:numPr>
        <w:spacing w:line="360" w:lineRule="auto"/>
        <w:ind w:leftChars="175"/>
        <w:jc w:val="right"/>
        <w:rPr>
          <w:rFonts w:hint="eastAsia" w:ascii="宋体" w:hAnsi="宋体" w:cs="宋体"/>
          <w:snapToGrid w:val="0"/>
          <w:sz w:val="24"/>
          <w:highlight w:val="none"/>
          <w:lang w:val="en-US" w:eastAsia="zh-CN"/>
        </w:rPr>
      </w:pPr>
      <w:r>
        <w:rPr>
          <w:rFonts w:hint="eastAsia" w:ascii="宋体" w:hAnsi="宋体" w:cs="宋体"/>
          <w:snapToGrid w:val="0"/>
          <w:sz w:val="24"/>
          <w:highlight w:val="none"/>
          <w:lang w:val="en-US" w:eastAsia="zh-CN"/>
        </w:rPr>
        <w:t xml:space="preserve">                                               二〇二四年六月</w:t>
      </w:r>
    </w:p>
    <w:p w14:paraId="0365D3F9">
      <w:pPr>
        <w:numPr>
          <w:ilvl w:val="0"/>
          <w:numId w:val="0"/>
        </w:numPr>
        <w:spacing w:line="360" w:lineRule="auto"/>
        <w:ind w:leftChars="175"/>
        <w:rPr>
          <w:rFonts w:hint="default" w:ascii="宋体" w:hAnsi="宋体" w:cs="宋体"/>
          <w:snapToGrid w:val="0"/>
          <w:sz w:val="24"/>
          <w:highlight w:val="none"/>
          <w:lang w:val="en-US" w:eastAsia="zh-CN"/>
        </w:rPr>
      </w:pP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95D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CBB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1641F">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22F1641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6A6B">
    <w:pPr>
      <w:pStyle w:val="12"/>
      <w:pBdr>
        <w:bottom w:val="none" w:color="auto" w:sz="0"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46543"/>
    <w:multiLevelType w:val="singleLevel"/>
    <w:tmpl w:val="BDD46543"/>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pStyle w:val="32"/>
      <w:lvlText w:val="第%1节"/>
      <w:lvlJc w:val="left"/>
      <w:pPr>
        <w:tabs>
          <w:tab w:val="left" w:pos="1533"/>
        </w:tabs>
        <w:ind w:left="2" w:firstLine="52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chineseCountingThousand"/>
      <w:lvlText w:val="第%1条"/>
      <w:lvlJc w:val="left"/>
      <w:pPr>
        <w:tabs>
          <w:tab w:val="left" w:pos="1605"/>
        </w:tabs>
        <w:ind w:left="-96" w:firstLine="522"/>
      </w:pPr>
      <w:rPr>
        <w:rFonts w:hint="default" w:ascii="宋体" w:hAnsi="宋体" w:eastAsia="宋体"/>
        <w:b/>
        <w:sz w:val="24"/>
        <w:szCs w:val="24"/>
        <w:lang w:val="en-US"/>
      </w:rPr>
    </w:lvl>
    <w:lvl w:ilvl="1" w:tentative="0">
      <w:start w:val="1"/>
      <w:numFmt w:val="chineseCountingThousand"/>
      <w:lvlText w:val="第%2节"/>
      <w:lvlJc w:val="left"/>
      <w:pPr>
        <w:tabs>
          <w:tab w:val="left" w:pos="1429"/>
        </w:tabs>
        <w:ind w:left="-102" w:firstLine="522"/>
      </w:pPr>
      <w:rPr>
        <w:rFonts w:hint="default"/>
      </w:rPr>
    </w:lvl>
    <w:lvl w:ilvl="2" w:tentative="0">
      <w:start w:val="2"/>
      <w:numFmt w:val="japaneseCounting"/>
      <w:lvlText w:val="第%3节"/>
      <w:lvlJc w:val="left"/>
      <w:pPr>
        <w:tabs>
          <w:tab w:val="left" w:pos="1860"/>
        </w:tabs>
        <w:ind w:left="1860" w:hanging="1020"/>
      </w:pPr>
      <w:rPr>
        <w:rFonts w:hint="default"/>
      </w:rPr>
    </w:lvl>
    <w:lvl w:ilvl="3" w:tentative="0">
      <w:start w:val="9"/>
      <w:numFmt w:val="japaneseCounting"/>
      <w:lvlText w:val="第%4章"/>
      <w:lvlJc w:val="left"/>
      <w:pPr>
        <w:tabs>
          <w:tab w:val="left" w:pos="2520"/>
        </w:tabs>
        <w:ind w:left="2520" w:hanging="12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chineseCountingThousand"/>
      <w:pStyle w:val="36"/>
      <w:lvlText w:val="第%1节"/>
      <w:lvlJc w:val="left"/>
      <w:pPr>
        <w:tabs>
          <w:tab w:val="left" w:pos="1533"/>
        </w:tabs>
        <w:ind w:left="2" w:firstLine="52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chineseCountingThousand"/>
      <w:pStyle w:val="2"/>
      <w:lvlText w:val="第%1章"/>
      <w:lvlJc w:val="left"/>
      <w:pPr>
        <w:tabs>
          <w:tab w:val="left" w:pos="4684"/>
        </w:tabs>
        <w:ind w:left="3153" w:firstLine="52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chineseCountingThousand"/>
      <w:pStyle w:val="31"/>
      <w:lvlText w:val="第%1节"/>
      <w:lvlJc w:val="left"/>
      <w:pPr>
        <w:tabs>
          <w:tab w:val="left" w:pos="1408"/>
        </w:tabs>
        <w:ind w:left="1408" w:hanging="360"/>
      </w:pPr>
      <w:rPr>
        <w:rFonts w:hint="default" w:ascii="Times New Roman" w:hAnsi="Times New Roman" w:eastAsia="黑体" w:cs="Times New Roman"/>
        <w:b w:val="0"/>
        <w:bCs w:val="0"/>
        <w:i w:val="0"/>
        <w:iCs w:val="0"/>
        <w:caps w:val="0"/>
        <w:strike w:val="0"/>
        <w:dstrike w:val="0"/>
        <w:vanish w:val="0"/>
        <w:color w:val="000000"/>
        <w:kern w:val="0"/>
        <w:position w:val="0"/>
        <w:sz w:val="25"/>
        <w:szCs w:val="25"/>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F"/>
    <w:multiLevelType w:val="multilevel"/>
    <w:tmpl w:val="0000000F"/>
    <w:lvl w:ilvl="0" w:tentative="0">
      <w:start w:val="1"/>
      <w:numFmt w:val="chineseCountingThousand"/>
      <w:pStyle w:val="33"/>
      <w:lvlText w:val="第%1节"/>
      <w:lvlJc w:val="left"/>
      <w:pPr>
        <w:tabs>
          <w:tab w:val="left" w:pos="1533"/>
        </w:tabs>
        <w:ind w:left="2" w:firstLine="52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chineseCountingThousand"/>
      <w:pStyle w:val="34"/>
      <w:lvlText w:val="第%1节"/>
      <w:lvlJc w:val="left"/>
      <w:pPr>
        <w:tabs>
          <w:tab w:val="left" w:pos="1533"/>
        </w:tabs>
        <w:ind w:left="2" w:firstLine="52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6"/>
  </w:num>
  <w:num w:numId="5">
    <w:abstractNumId w:val="7"/>
  </w:num>
  <w:num w:numId="6">
    <w:abstractNumId w:val="3"/>
  </w:num>
  <w:num w:numId="7">
    <w:abstractNumId w:val="2"/>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YzE5YmEwZDUwZWM2ODdmMDFhYjUwZWI5YmM5ZmYifQ=="/>
  </w:docVars>
  <w:rsids>
    <w:rsidRoot w:val="00172A27"/>
    <w:rsid w:val="00006609"/>
    <w:rsid w:val="000073DF"/>
    <w:rsid w:val="000169A3"/>
    <w:rsid w:val="00021A19"/>
    <w:rsid w:val="00026657"/>
    <w:rsid w:val="00043ECB"/>
    <w:rsid w:val="00053131"/>
    <w:rsid w:val="00057995"/>
    <w:rsid w:val="00073074"/>
    <w:rsid w:val="00073D0A"/>
    <w:rsid w:val="00080C20"/>
    <w:rsid w:val="00091AE3"/>
    <w:rsid w:val="00094C23"/>
    <w:rsid w:val="000A22FA"/>
    <w:rsid w:val="000D6250"/>
    <w:rsid w:val="000E5D71"/>
    <w:rsid w:val="000F0B99"/>
    <w:rsid w:val="000F7D28"/>
    <w:rsid w:val="001152B8"/>
    <w:rsid w:val="00151D40"/>
    <w:rsid w:val="0016571D"/>
    <w:rsid w:val="00176FE5"/>
    <w:rsid w:val="001937DB"/>
    <w:rsid w:val="0019458B"/>
    <w:rsid w:val="001B2BF1"/>
    <w:rsid w:val="001B57BF"/>
    <w:rsid w:val="001C3B71"/>
    <w:rsid w:val="001C7521"/>
    <w:rsid w:val="001D0975"/>
    <w:rsid w:val="001D39F2"/>
    <w:rsid w:val="001E1EDF"/>
    <w:rsid w:val="001F3295"/>
    <w:rsid w:val="00207A44"/>
    <w:rsid w:val="002163DE"/>
    <w:rsid w:val="00217C93"/>
    <w:rsid w:val="00223A67"/>
    <w:rsid w:val="00230786"/>
    <w:rsid w:val="00243522"/>
    <w:rsid w:val="0025212A"/>
    <w:rsid w:val="00253294"/>
    <w:rsid w:val="002606CD"/>
    <w:rsid w:val="00280D32"/>
    <w:rsid w:val="002849CB"/>
    <w:rsid w:val="00285085"/>
    <w:rsid w:val="002A2224"/>
    <w:rsid w:val="002B2167"/>
    <w:rsid w:val="002B5686"/>
    <w:rsid w:val="002B710D"/>
    <w:rsid w:val="002D3387"/>
    <w:rsid w:val="002D5E87"/>
    <w:rsid w:val="002D7AE1"/>
    <w:rsid w:val="002E3AB2"/>
    <w:rsid w:val="002E3E92"/>
    <w:rsid w:val="00304110"/>
    <w:rsid w:val="00311097"/>
    <w:rsid w:val="00316F02"/>
    <w:rsid w:val="00331705"/>
    <w:rsid w:val="003403BA"/>
    <w:rsid w:val="00340A54"/>
    <w:rsid w:val="00365CAF"/>
    <w:rsid w:val="00383B7B"/>
    <w:rsid w:val="0039056F"/>
    <w:rsid w:val="003927DA"/>
    <w:rsid w:val="003F2DE6"/>
    <w:rsid w:val="003F5ECB"/>
    <w:rsid w:val="003F5F9B"/>
    <w:rsid w:val="00400066"/>
    <w:rsid w:val="00410E01"/>
    <w:rsid w:val="0042595E"/>
    <w:rsid w:val="004837E3"/>
    <w:rsid w:val="004A1127"/>
    <w:rsid w:val="004E2541"/>
    <w:rsid w:val="004E33DE"/>
    <w:rsid w:val="004E610B"/>
    <w:rsid w:val="00507A48"/>
    <w:rsid w:val="00516F60"/>
    <w:rsid w:val="0052597C"/>
    <w:rsid w:val="00537392"/>
    <w:rsid w:val="00546A16"/>
    <w:rsid w:val="00555324"/>
    <w:rsid w:val="00562E5D"/>
    <w:rsid w:val="005657E9"/>
    <w:rsid w:val="00566695"/>
    <w:rsid w:val="005719AF"/>
    <w:rsid w:val="005916CE"/>
    <w:rsid w:val="00592753"/>
    <w:rsid w:val="005978DE"/>
    <w:rsid w:val="005A079F"/>
    <w:rsid w:val="005A2883"/>
    <w:rsid w:val="005D061C"/>
    <w:rsid w:val="005E2B81"/>
    <w:rsid w:val="005E4B74"/>
    <w:rsid w:val="005E7274"/>
    <w:rsid w:val="005F22EB"/>
    <w:rsid w:val="00605540"/>
    <w:rsid w:val="006305E4"/>
    <w:rsid w:val="00633BC7"/>
    <w:rsid w:val="00633F2F"/>
    <w:rsid w:val="0065732A"/>
    <w:rsid w:val="00677FE4"/>
    <w:rsid w:val="00695BD4"/>
    <w:rsid w:val="00695F3F"/>
    <w:rsid w:val="006B1402"/>
    <w:rsid w:val="006B34EC"/>
    <w:rsid w:val="006B3A09"/>
    <w:rsid w:val="006B5421"/>
    <w:rsid w:val="006C755B"/>
    <w:rsid w:val="006D3360"/>
    <w:rsid w:val="006E27AA"/>
    <w:rsid w:val="006E3EA5"/>
    <w:rsid w:val="006F01C3"/>
    <w:rsid w:val="00700FAC"/>
    <w:rsid w:val="007113F7"/>
    <w:rsid w:val="00722C6F"/>
    <w:rsid w:val="00730287"/>
    <w:rsid w:val="007358E6"/>
    <w:rsid w:val="00740ABE"/>
    <w:rsid w:val="00741560"/>
    <w:rsid w:val="00752969"/>
    <w:rsid w:val="007625BA"/>
    <w:rsid w:val="0076353F"/>
    <w:rsid w:val="00764F5F"/>
    <w:rsid w:val="007724FC"/>
    <w:rsid w:val="0078351E"/>
    <w:rsid w:val="00784399"/>
    <w:rsid w:val="007964CF"/>
    <w:rsid w:val="007A10F3"/>
    <w:rsid w:val="007A1FB8"/>
    <w:rsid w:val="007A42CA"/>
    <w:rsid w:val="007A7D10"/>
    <w:rsid w:val="007B4A23"/>
    <w:rsid w:val="007C1D02"/>
    <w:rsid w:val="007C7245"/>
    <w:rsid w:val="007C77B2"/>
    <w:rsid w:val="007D1410"/>
    <w:rsid w:val="007E183F"/>
    <w:rsid w:val="007E79A1"/>
    <w:rsid w:val="007F2C24"/>
    <w:rsid w:val="007F582A"/>
    <w:rsid w:val="007F5EBF"/>
    <w:rsid w:val="007F6E59"/>
    <w:rsid w:val="007F7B40"/>
    <w:rsid w:val="008002CC"/>
    <w:rsid w:val="00820E0D"/>
    <w:rsid w:val="00824FA7"/>
    <w:rsid w:val="00832B42"/>
    <w:rsid w:val="00843444"/>
    <w:rsid w:val="00863E5A"/>
    <w:rsid w:val="00876959"/>
    <w:rsid w:val="008771C5"/>
    <w:rsid w:val="008811D7"/>
    <w:rsid w:val="008A6F2C"/>
    <w:rsid w:val="008C185C"/>
    <w:rsid w:val="008D0632"/>
    <w:rsid w:val="008D24AB"/>
    <w:rsid w:val="008E2407"/>
    <w:rsid w:val="008E49EA"/>
    <w:rsid w:val="008F64E1"/>
    <w:rsid w:val="0090226E"/>
    <w:rsid w:val="0090738E"/>
    <w:rsid w:val="00910771"/>
    <w:rsid w:val="00921209"/>
    <w:rsid w:val="0092597C"/>
    <w:rsid w:val="009608BF"/>
    <w:rsid w:val="009630F5"/>
    <w:rsid w:val="00967A26"/>
    <w:rsid w:val="009A5D64"/>
    <w:rsid w:val="009B2293"/>
    <w:rsid w:val="009B3FD4"/>
    <w:rsid w:val="009B56AC"/>
    <w:rsid w:val="009B6A59"/>
    <w:rsid w:val="009C7B3E"/>
    <w:rsid w:val="009D4913"/>
    <w:rsid w:val="009E2AC8"/>
    <w:rsid w:val="009E4278"/>
    <w:rsid w:val="009F4899"/>
    <w:rsid w:val="00A1034B"/>
    <w:rsid w:val="00A14414"/>
    <w:rsid w:val="00A21891"/>
    <w:rsid w:val="00A263E4"/>
    <w:rsid w:val="00A271DC"/>
    <w:rsid w:val="00A30731"/>
    <w:rsid w:val="00A33EA2"/>
    <w:rsid w:val="00A41133"/>
    <w:rsid w:val="00A41D76"/>
    <w:rsid w:val="00A42153"/>
    <w:rsid w:val="00A43B6C"/>
    <w:rsid w:val="00A524ED"/>
    <w:rsid w:val="00A710E8"/>
    <w:rsid w:val="00A92EE5"/>
    <w:rsid w:val="00AB73BC"/>
    <w:rsid w:val="00AE492E"/>
    <w:rsid w:val="00AE6323"/>
    <w:rsid w:val="00B05C32"/>
    <w:rsid w:val="00B171AB"/>
    <w:rsid w:val="00B21162"/>
    <w:rsid w:val="00B25E81"/>
    <w:rsid w:val="00B25F8A"/>
    <w:rsid w:val="00B27667"/>
    <w:rsid w:val="00B337E9"/>
    <w:rsid w:val="00B361C6"/>
    <w:rsid w:val="00B37C55"/>
    <w:rsid w:val="00B440E7"/>
    <w:rsid w:val="00B517C3"/>
    <w:rsid w:val="00B55920"/>
    <w:rsid w:val="00B6225F"/>
    <w:rsid w:val="00B67C08"/>
    <w:rsid w:val="00B707C8"/>
    <w:rsid w:val="00B8086B"/>
    <w:rsid w:val="00B82F3E"/>
    <w:rsid w:val="00B87E46"/>
    <w:rsid w:val="00B965D4"/>
    <w:rsid w:val="00BA0A7E"/>
    <w:rsid w:val="00BA237A"/>
    <w:rsid w:val="00BA6D92"/>
    <w:rsid w:val="00BB2425"/>
    <w:rsid w:val="00BB5F06"/>
    <w:rsid w:val="00BC104B"/>
    <w:rsid w:val="00BD40B0"/>
    <w:rsid w:val="00BD5631"/>
    <w:rsid w:val="00BD5A76"/>
    <w:rsid w:val="00BE237A"/>
    <w:rsid w:val="00BE2F6B"/>
    <w:rsid w:val="00BE418F"/>
    <w:rsid w:val="00BE7E9A"/>
    <w:rsid w:val="00C32F62"/>
    <w:rsid w:val="00C37330"/>
    <w:rsid w:val="00C40719"/>
    <w:rsid w:val="00C41B4D"/>
    <w:rsid w:val="00C435E6"/>
    <w:rsid w:val="00C60636"/>
    <w:rsid w:val="00C830DD"/>
    <w:rsid w:val="00C92E63"/>
    <w:rsid w:val="00CB2D26"/>
    <w:rsid w:val="00CB3420"/>
    <w:rsid w:val="00CB58AA"/>
    <w:rsid w:val="00CF4C64"/>
    <w:rsid w:val="00D01CA4"/>
    <w:rsid w:val="00D06D9C"/>
    <w:rsid w:val="00D1741D"/>
    <w:rsid w:val="00D319E0"/>
    <w:rsid w:val="00D41F10"/>
    <w:rsid w:val="00D52090"/>
    <w:rsid w:val="00D55420"/>
    <w:rsid w:val="00D713B4"/>
    <w:rsid w:val="00D82BDE"/>
    <w:rsid w:val="00DA1676"/>
    <w:rsid w:val="00DB5203"/>
    <w:rsid w:val="00DC5594"/>
    <w:rsid w:val="00DD1163"/>
    <w:rsid w:val="00DE6118"/>
    <w:rsid w:val="00DF0928"/>
    <w:rsid w:val="00DF49C8"/>
    <w:rsid w:val="00E3081B"/>
    <w:rsid w:val="00E561D3"/>
    <w:rsid w:val="00E66873"/>
    <w:rsid w:val="00E67666"/>
    <w:rsid w:val="00E70114"/>
    <w:rsid w:val="00E70B45"/>
    <w:rsid w:val="00EA5E5E"/>
    <w:rsid w:val="00EB7096"/>
    <w:rsid w:val="00EC08BF"/>
    <w:rsid w:val="00EC6A79"/>
    <w:rsid w:val="00ED7DAD"/>
    <w:rsid w:val="00F16AC5"/>
    <w:rsid w:val="00F30361"/>
    <w:rsid w:val="00F36FBB"/>
    <w:rsid w:val="00F423AA"/>
    <w:rsid w:val="00F506D9"/>
    <w:rsid w:val="00F60EC4"/>
    <w:rsid w:val="00F705E5"/>
    <w:rsid w:val="00F72FBD"/>
    <w:rsid w:val="00F816C9"/>
    <w:rsid w:val="00F82279"/>
    <w:rsid w:val="00FA136F"/>
    <w:rsid w:val="00FC2860"/>
    <w:rsid w:val="00FC39D5"/>
    <w:rsid w:val="00FC3E67"/>
    <w:rsid w:val="00FC64BA"/>
    <w:rsid w:val="00FD08E3"/>
    <w:rsid w:val="00FD423F"/>
    <w:rsid w:val="00FF70B1"/>
    <w:rsid w:val="01134318"/>
    <w:rsid w:val="01BC5572"/>
    <w:rsid w:val="04CF3A7F"/>
    <w:rsid w:val="06B8308D"/>
    <w:rsid w:val="06F57D08"/>
    <w:rsid w:val="074F2B90"/>
    <w:rsid w:val="075270B8"/>
    <w:rsid w:val="07DA6432"/>
    <w:rsid w:val="09F7221B"/>
    <w:rsid w:val="0D511E95"/>
    <w:rsid w:val="0DAB7287"/>
    <w:rsid w:val="0E170855"/>
    <w:rsid w:val="0E554844"/>
    <w:rsid w:val="0FCB4221"/>
    <w:rsid w:val="10545C67"/>
    <w:rsid w:val="124D026A"/>
    <w:rsid w:val="125F4965"/>
    <w:rsid w:val="12E347AA"/>
    <w:rsid w:val="13026691"/>
    <w:rsid w:val="1439127C"/>
    <w:rsid w:val="146E3F3F"/>
    <w:rsid w:val="14964379"/>
    <w:rsid w:val="15D12640"/>
    <w:rsid w:val="17584773"/>
    <w:rsid w:val="17A34CDF"/>
    <w:rsid w:val="18EA7524"/>
    <w:rsid w:val="191737FE"/>
    <w:rsid w:val="19852D7C"/>
    <w:rsid w:val="199E4C5F"/>
    <w:rsid w:val="1A05561C"/>
    <w:rsid w:val="1CAF7B92"/>
    <w:rsid w:val="1CB16091"/>
    <w:rsid w:val="1D571488"/>
    <w:rsid w:val="20F801A5"/>
    <w:rsid w:val="21494A03"/>
    <w:rsid w:val="22EE5E7D"/>
    <w:rsid w:val="238233B1"/>
    <w:rsid w:val="26222016"/>
    <w:rsid w:val="2A64640A"/>
    <w:rsid w:val="2B566BD9"/>
    <w:rsid w:val="2C9F516C"/>
    <w:rsid w:val="2FEC6BD8"/>
    <w:rsid w:val="30A43A04"/>
    <w:rsid w:val="31963C23"/>
    <w:rsid w:val="32581523"/>
    <w:rsid w:val="369B4675"/>
    <w:rsid w:val="36B528A4"/>
    <w:rsid w:val="37776ADF"/>
    <w:rsid w:val="37B637F9"/>
    <w:rsid w:val="38107704"/>
    <w:rsid w:val="38705624"/>
    <w:rsid w:val="3AF74FDD"/>
    <w:rsid w:val="3C99069A"/>
    <w:rsid w:val="3CA05AAD"/>
    <w:rsid w:val="3CA131F0"/>
    <w:rsid w:val="3D324B54"/>
    <w:rsid w:val="3D9656DD"/>
    <w:rsid w:val="3DCD3669"/>
    <w:rsid w:val="3DEF608A"/>
    <w:rsid w:val="3E801948"/>
    <w:rsid w:val="3E8210B4"/>
    <w:rsid w:val="40222319"/>
    <w:rsid w:val="40C724E3"/>
    <w:rsid w:val="43365331"/>
    <w:rsid w:val="43773ED3"/>
    <w:rsid w:val="444E2C9C"/>
    <w:rsid w:val="44FE4053"/>
    <w:rsid w:val="452D0A48"/>
    <w:rsid w:val="45474CFD"/>
    <w:rsid w:val="45894A87"/>
    <w:rsid w:val="47221A6F"/>
    <w:rsid w:val="48D534E4"/>
    <w:rsid w:val="4ADF5FA1"/>
    <w:rsid w:val="4B692AD3"/>
    <w:rsid w:val="4BAD1412"/>
    <w:rsid w:val="4C1026CD"/>
    <w:rsid w:val="4C98478D"/>
    <w:rsid w:val="4D183002"/>
    <w:rsid w:val="4DC11C99"/>
    <w:rsid w:val="4DF80168"/>
    <w:rsid w:val="504E24E2"/>
    <w:rsid w:val="50E91A72"/>
    <w:rsid w:val="519B2798"/>
    <w:rsid w:val="527956F3"/>
    <w:rsid w:val="5459785D"/>
    <w:rsid w:val="54A47FAF"/>
    <w:rsid w:val="55E51881"/>
    <w:rsid w:val="5612313D"/>
    <w:rsid w:val="56352409"/>
    <w:rsid w:val="565A2F1B"/>
    <w:rsid w:val="587E596A"/>
    <w:rsid w:val="58F40317"/>
    <w:rsid w:val="58FFAE19"/>
    <w:rsid w:val="59517E66"/>
    <w:rsid w:val="5BA12694"/>
    <w:rsid w:val="5EFF1DEA"/>
    <w:rsid w:val="5F1A0516"/>
    <w:rsid w:val="61726B01"/>
    <w:rsid w:val="62A17A42"/>
    <w:rsid w:val="636A0D0D"/>
    <w:rsid w:val="638F0155"/>
    <w:rsid w:val="646D58E0"/>
    <w:rsid w:val="64ED10BC"/>
    <w:rsid w:val="654C7FB5"/>
    <w:rsid w:val="657E5CD9"/>
    <w:rsid w:val="675B434C"/>
    <w:rsid w:val="67A975B5"/>
    <w:rsid w:val="67DE679F"/>
    <w:rsid w:val="67F52F67"/>
    <w:rsid w:val="68132BA5"/>
    <w:rsid w:val="689918BD"/>
    <w:rsid w:val="68CF400C"/>
    <w:rsid w:val="698A527D"/>
    <w:rsid w:val="69A11566"/>
    <w:rsid w:val="6B7F7A8D"/>
    <w:rsid w:val="6C830273"/>
    <w:rsid w:val="6CBD12C3"/>
    <w:rsid w:val="6D4B2372"/>
    <w:rsid w:val="6F403B84"/>
    <w:rsid w:val="6F8038BF"/>
    <w:rsid w:val="70647384"/>
    <w:rsid w:val="7069332C"/>
    <w:rsid w:val="71095F4D"/>
    <w:rsid w:val="71A42604"/>
    <w:rsid w:val="71B52144"/>
    <w:rsid w:val="73C3551C"/>
    <w:rsid w:val="73E47792"/>
    <w:rsid w:val="74AA7876"/>
    <w:rsid w:val="74CD04F3"/>
    <w:rsid w:val="76A251A7"/>
    <w:rsid w:val="76EA070D"/>
    <w:rsid w:val="7A700B75"/>
    <w:rsid w:val="7BA929EF"/>
    <w:rsid w:val="7D414A79"/>
    <w:rsid w:val="7DEF6E5B"/>
    <w:rsid w:val="7EC05778"/>
    <w:rsid w:val="7ED80829"/>
    <w:rsid w:val="B7FB1890"/>
    <w:rsid w:val="CFFC3D60"/>
    <w:rsid w:val="FDF77FF6"/>
    <w:rsid w:val="FE7ED1F6"/>
    <w:rsid w:val="FF54F6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numPr>
        <w:ilvl w:val="0"/>
        <w:numId w:val="1"/>
      </w:numPr>
      <w:spacing w:before="340" w:after="330" w:line="576" w:lineRule="auto"/>
      <w:jc w:val="center"/>
      <w:outlineLvl w:val="0"/>
    </w:pPr>
    <w:rPr>
      <w:rFonts w:eastAsia="黑体"/>
      <w:bCs/>
      <w:snapToGrid w:val="0"/>
      <w:kern w:val="44"/>
      <w:szCs w:val="25"/>
    </w:rPr>
  </w:style>
  <w:style w:type="paragraph" w:styleId="3">
    <w:name w:val="heading 2"/>
    <w:basedOn w:val="1"/>
    <w:next w:val="1"/>
    <w:autoRedefine/>
    <w:qFormat/>
    <w:uiPriority w:val="0"/>
    <w:pPr>
      <w:keepNext/>
      <w:keepLines/>
      <w:spacing w:before="260" w:after="260" w:line="413" w:lineRule="auto"/>
      <w:jc w:val="center"/>
      <w:outlineLvl w:val="1"/>
    </w:pPr>
    <w:rPr>
      <w:rFonts w:eastAsia="黑体"/>
      <w:szCs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autoRedefine/>
    <w:unhideWhenUsed/>
    <w:qFormat/>
    <w:uiPriority w:val="0"/>
    <w:pPr>
      <w:spacing w:before="100" w:beforeAutospacing="1" w:after="100" w:afterAutospacing="1"/>
      <w:jc w:val="center"/>
      <w:outlineLvl w:val="3"/>
    </w:pPr>
    <w:rPr>
      <w:rFonts w:hint="eastAsia" w:ascii="宋体" w:hAnsi="宋体" w:eastAsia="宋体" w:cs="宋体"/>
      <w:b/>
      <w:kern w:val="0"/>
      <w:sz w:val="36"/>
      <w:szCs w:val="36"/>
      <w:lang w:val="en-US" w:eastAsia="zh-CN" w:bidi="ar"/>
    </w:rPr>
  </w:style>
  <w:style w:type="character" w:default="1" w:styleId="21">
    <w:name w:val="Default Paragraph Font"/>
    <w:autoRedefine/>
    <w:qFormat/>
    <w:uiPriority w:val="0"/>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autoRedefine/>
    <w:qFormat/>
    <w:uiPriority w:val="0"/>
    <w:pPr>
      <w:shd w:val="clear" w:color="auto" w:fill="000080"/>
    </w:pPr>
  </w:style>
  <w:style w:type="paragraph" w:styleId="7">
    <w:name w:val="annotation text"/>
    <w:basedOn w:val="1"/>
    <w:autoRedefine/>
    <w:qFormat/>
    <w:uiPriority w:val="0"/>
    <w:pPr>
      <w:jc w:val="left"/>
    </w:pPr>
  </w:style>
  <w:style w:type="paragraph" w:styleId="8">
    <w:name w:val="Plain Text"/>
    <w:basedOn w:val="1"/>
    <w:autoRedefine/>
    <w:qFormat/>
    <w:uiPriority w:val="0"/>
    <w:rPr>
      <w:rFonts w:ascii="宋体" w:hAnsi="Courier New"/>
    </w:r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rPr>
  </w:style>
  <w:style w:type="paragraph" w:styleId="11">
    <w:name w:val="footer"/>
    <w:basedOn w:val="1"/>
    <w:link w:val="26"/>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after="120"/>
      <w:jc w:val="left"/>
    </w:pPr>
    <w:rPr>
      <w:rFonts w:ascii="Calibri" w:hAnsi="Calibri" w:cs="Calibri"/>
      <w:b/>
      <w:bCs/>
      <w:caps/>
      <w:sz w:val="20"/>
      <w:szCs w:val="20"/>
    </w:rPr>
  </w:style>
  <w:style w:type="paragraph" w:styleId="14">
    <w:name w:val="Subtitle"/>
    <w:basedOn w:val="1"/>
    <w:next w:val="1"/>
    <w:link w:val="27"/>
    <w:autoRedefine/>
    <w:qFormat/>
    <w:uiPriority w:val="11"/>
    <w:pPr>
      <w:spacing w:before="240" w:after="60" w:line="312" w:lineRule="auto"/>
      <w:jc w:val="center"/>
      <w:outlineLvl w:val="1"/>
    </w:pPr>
    <w:rPr>
      <w:rFonts w:ascii="Calibri" w:hAnsi="Calibri"/>
      <w:b/>
      <w:bCs/>
      <w:kern w:val="28"/>
      <w:sz w:val="32"/>
      <w:szCs w:val="32"/>
    </w:rPr>
  </w:style>
  <w:style w:type="paragraph" w:styleId="15">
    <w:name w:val="toc 2"/>
    <w:basedOn w:val="1"/>
    <w:next w:val="1"/>
    <w:autoRedefine/>
    <w:qFormat/>
    <w:uiPriority w:val="39"/>
    <w:pPr>
      <w:spacing w:before="0"/>
      <w:ind w:left="250"/>
      <w:jc w:val="left"/>
    </w:pPr>
    <w:rPr>
      <w:rFonts w:ascii="Calibri" w:hAnsi="Calibri" w:cs="Calibri"/>
      <w:smallCaps/>
      <w:sz w:val="20"/>
      <w:szCs w:val="20"/>
    </w:rPr>
  </w:style>
  <w:style w:type="paragraph" w:styleId="16">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link w:val="28"/>
    <w:autoRedefine/>
    <w:qFormat/>
    <w:uiPriority w:val="10"/>
    <w:pPr>
      <w:spacing w:before="240" w:after="60"/>
      <w:jc w:val="center"/>
      <w:outlineLvl w:val="0"/>
    </w:pPr>
    <w:rPr>
      <w:rFonts w:ascii="Calibri" w:hAnsi="Calibri"/>
      <w:b/>
      <w:bCs/>
      <w:sz w:val="32"/>
      <w:szCs w:val="32"/>
    </w:rPr>
  </w:style>
  <w:style w:type="paragraph" w:styleId="18">
    <w:name w:val="annotation subject"/>
    <w:basedOn w:val="7"/>
    <w:next w:val="7"/>
    <w:autoRedefine/>
    <w:qFormat/>
    <w:uiPriority w:val="0"/>
    <w:rPr>
      <w:b/>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Emphasis"/>
    <w:autoRedefine/>
    <w:qFormat/>
    <w:uiPriority w:val="20"/>
    <w:rPr>
      <w:i/>
    </w:rPr>
  </w:style>
  <w:style w:type="character" w:styleId="24">
    <w:name w:val="Hyperlink"/>
    <w:autoRedefine/>
    <w:unhideWhenUsed/>
    <w:qFormat/>
    <w:uiPriority w:val="99"/>
    <w:rPr>
      <w:color w:val="0000FF"/>
      <w:u w:val="single"/>
    </w:rPr>
  </w:style>
  <w:style w:type="character" w:styleId="25">
    <w:name w:val="annotation reference"/>
    <w:autoRedefine/>
    <w:qFormat/>
    <w:uiPriority w:val="0"/>
    <w:rPr>
      <w:sz w:val="21"/>
    </w:rPr>
  </w:style>
  <w:style w:type="character" w:customStyle="1" w:styleId="26">
    <w:name w:val="页脚 字符"/>
    <w:link w:val="11"/>
    <w:autoRedefine/>
    <w:qFormat/>
    <w:uiPriority w:val="99"/>
    <w:rPr>
      <w:kern w:val="2"/>
      <w:sz w:val="18"/>
    </w:rPr>
  </w:style>
  <w:style w:type="character" w:customStyle="1" w:styleId="27">
    <w:name w:val="副标题 字符"/>
    <w:link w:val="14"/>
    <w:autoRedefine/>
    <w:qFormat/>
    <w:uiPriority w:val="11"/>
    <w:rPr>
      <w:rFonts w:ascii="Calibri" w:hAnsi="Calibri" w:cs="Times New Roman"/>
      <w:b/>
      <w:bCs/>
      <w:kern w:val="28"/>
      <w:sz w:val="32"/>
      <w:szCs w:val="32"/>
    </w:rPr>
  </w:style>
  <w:style w:type="character" w:customStyle="1" w:styleId="28">
    <w:name w:val="标题 字符"/>
    <w:link w:val="17"/>
    <w:autoRedefine/>
    <w:qFormat/>
    <w:uiPriority w:val="10"/>
    <w:rPr>
      <w:rFonts w:ascii="Calibri" w:hAnsi="Calibri" w:cs="Times New Roman"/>
      <w:b/>
      <w:bCs/>
      <w:kern w:val="2"/>
      <w:sz w:val="32"/>
      <w:szCs w:val="32"/>
    </w:rPr>
  </w:style>
  <w:style w:type="paragraph" w:customStyle="1" w:styleId="2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0">
    <w:name w:val="List Paragraph"/>
    <w:basedOn w:val="1"/>
    <w:autoRedefine/>
    <w:qFormat/>
    <w:uiPriority w:val="72"/>
    <w:pPr>
      <w:ind w:firstLine="420" w:firstLineChars="200"/>
    </w:pPr>
  </w:style>
  <w:style w:type="paragraph" w:customStyle="1" w:styleId="31">
    <w:name w:val="样式1"/>
    <w:basedOn w:val="3"/>
    <w:autoRedefine/>
    <w:qFormat/>
    <w:uiPriority w:val="0"/>
    <w:pPr>
      <w:numPr>
        <w:ilvl w:val="0"/>
        <w:numId w:val="2"/>
      </w:numPr>
    </w:pPr>
  </w:style>
  <w:style w:type="paragraph" w:customStyle="1" w:styleId="32">
    <w:name w:val="样式4"/>
    <w:basedOn w:val="3"/>
    <w:autoRedefine/>
    <w:qFormat/>
    <w:uiPriority w:val="0"/>
    <w:pPr>
      <w:numPr>
        <w:ilvl w:val="0"/>
        <w:numId w:val="3"/>
      </w:numPr>
    </w:pPr>
  </w:style>
  <w:style w:type="paragraph" w:customStyle="1" w:styleId="33">
    <w:name w:val="样式5"/>
    <w:basedOn w:val="3"/>
    <w:autoRedefine/>
    <w:qFormat/>
    <w:uiPriority w:val="0"/>
    <w:pPr>
      <w:numPr>
        <w:ilvl w:val="0"/>
        <w:numId w:val="4"/>
      </w:numPr>
    </w:pPr>
  </w:style>
  <w:style w:type="paragraph" w:customStyle="1" w:styleId="34">
    <w:name w:val="样式7"/>
    <w:basedOn w:val="3"/>
    <w:autoRedefine/>
    <w:qFormat/>
    <w:uiPriority w:val="0"/>
    <w:pPr>
      <w:numPr>
        <w:ilvl w:val="0"/>
        <w:numId w:val="5"/>
      </w:numPr>
    </w:pPr>
  </w:style>
  <w:style w:type="paragraph" w:customStyle="1" w:styleId="35">
    <w:name w:val="CM4"/>
    <w:basedOn w:val="1"/>
    <w:next w:val="1"/>
    <w:autoRedefine/>
    <w:qFormat/>
    <w:uiPriority w:val="0"/>
    <w:pPr>
      <w:autoSpaceDE w:val="0"/>
      <w:autoSpaceDN w:val="0"/>
      <w:adjustRightInd w:val="0"/>
      <w:spacing w:line="500" w:lineRule="atLeast"/>
      <w:jc w:val="left"/>
    </w:pPr>
    <w:rPr>
      <w:rFonts w:ascii="宋体"/>
      <w:kern w:val="0"/>
      <w:sz w:val="24"/>
    </w:rPr>
  </w:style>
  <w:style w:type="paragraph" w:customStyle="1" w:styleId="36">
    <w:name w:val="样式3"/>
    <w:basedOn w:val="3"/>
    <w:autoRedefine/>
    <w:qFormat/>
    <w:uiPriority w:val="0"/>
    <w:pPr>
      <w:numPr>
        <w:ilvl w:val="0"/>
        <w:numId w:val="6"/>
      </w:numPr>
    </w:pPr>
  </w:style>
  <w:style w:type="paragraph" w:customStyle="1" w:styleId="37">
    <w:name w:val="CM3"/>
    <w:basedOn w:val="1"/>
    <w:next w:val="1"/>
    <w:autoRedefine/>
    <w:qFormat/>
    <w:uiPriority w:val="0"/>
    <w:pPr>
      <w:autoSpaceDE w:val="0"/>
      <w:autoSpaceDN w:val="0"/>
      <w:adjustRightInd w:val="0"/>
      <w:spacing w:line="440" w:lineRule="atLeast"/>
      <w:jc w:val="left"/>
    </w:pPr>
    <w:rPr>
      <w:rFonts w:ascii="宋体"/>
      <w:kern w:val="0"/>
      <w:sz w:val="24"/>
    </w:rPr>
  </w:style>
  <w:style w:type="paragraph" w:customStyle="1" w:styleId="38">
    <w:name w:val="_Style 37"/>
    <w:autoRedefine/>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30038</Words>
  <Characters>30576</Characters>
  <Lines>255</Lines>
  <Paragraphs>71</Paragraphs>
  <TotalTime>1</TotalTime>
  <ScaleCrop>false</ScaleCrop>
  <LinksUpToDate>false</LinksUpToDate>
  <CharactersWithSpaces>31092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2012-07-11T10:00:00Z</dcterms:created>
  <dc:creator>微软用户</dc:creator>
  <cp:lastModifiedBy>LJL</cp:lastModifiedBy>
  <cp:lastPrinted>2024-04-09T06:17:00Z</cp:lastPrinted>
  <dcterms:modified xsi:type="dcterms:W3CDTF">2024-06-14T06:38:36Z</dcterms:modified>
  <dc:title>深圳丹邦科技股份有限公司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95CE7A42EDC3477B85FF35947CE07393_13</vt:lpwstr>
  </property>
  <property fmtid="{D5CDD505-2E9C-101B-9397-08002B2CF9AE}" pid="4" name="commondata">
    <vt:lpwstr>eyJoZGlkIjoiYTVjN2UyODNhZWRkOWM4M2RjYmI4YWY1ZTYxNzcwOWQifQ==</vt:lpwstr>
  </property>
</Properties>
</file>