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F317B">
      <w:pPr>
        <w:jc w:val="center"/>
        <w:rPr>
          <w:rFonts w:ascii="黑体" w:eastAsia="黑体"/>
          <w:b/>
          <w:color w:val="000000" w:themeColor="text1"/>
          <w:sz w:val="28"/>
          <w:szCs w:val="28"/>
          <w:highlight w:val="none"/>
          <w14:textFill>
            <w14:solidFill>
              <w14:schemeClr w14:val="tx1"/>
            </w14:solidFill>
          </w14:textFill>
        </w:rPr>
      </w:pPr>
      <w:r>
        <w:rPr>
          <w:rFonts w:hint="eastAsia" w:ascii="黑体" w:eastAsia="黑体"/>
          <w:b/>
          <w:color w:val="000000" w:themeColor="text1"/>
          <w:sz w:val="28"/>
          <w:szCs w:val="28"/>
          <w:highlight w:val="none"/>
          <w14:textFill>
            <w14:solidFill>
              <w14:schemeClr w14:val="tx1"/>
            </w14:solidFill>
          </w14:textFill>
        </w:rPr>
        <w:t>设备采购合同</w:t>
      </w:r>
    </w:p>
    <w:p w14:paraId="21BD6CFB">
      <w:pPr>
        <w:spacing w:after="160" w:line="360" w:lineRule="auto"/>
        <w:ind w:right="240" w:firstLine="480"/>
        <w:jc w:val="center"/>
        <w:rPr>
          <w:rFonts w:hint="eastAsia" w:ascii="宋体" w:hAnsi="宋体"/>
          <w:color w:val="000000" w:themeColor="text1"/>
          <w:sz w:val="24"/>
          <w:highlight w:val="none"/>
          <w14:textFill>
            <w14:solidFill>
              <w14:schemeClr w14:val="tx1"/>
            </w14:solidFill>
          </w14:textFill>
        </w:rPr>
      </w:pPr>
      <w:permStart w:id="0" w:edGrp="everyone"/>
      <w:r>
        <w:rPr>
          <w:rFonts w:hint="eastAsia" w:ascii="宋体" w:hAnsi="宋体"/>
          <w:color w:val="000000" w:themeColor="text1"/>
          <w:sz w:val="24"/>
          <w:highlight w:val="none"/>
          <w14:textFill>
            <w14:solidFill>
              <w14:schemeClr w14:val="tx1"/>
            </w14:solidFill>
          </w14:textFill>
        </w:rPr>
        <w:t xml:space="preserve">                                         合</w:t>
      </w:r>
      <w:r>
        <w:rPr>
          <w:rFonts w:hint="eastAsia"/>
          <w:highlight w:val="none"/>
        </w:rPr>
        <w:t>同</w:t>
      </w:r>
      <w:r>
        <w:rPr>
          <w:rFonts w:hint="eastAsia" w:ascii="宋体" w:hAnsi="宋体"/>
          <w:color w:val="000000" w:themeColor="text1"/>
          <w:sz w:val="24"/>
          <w:highlight w:val="none"/>
          <w14:textFill>
            <w14:solidFill>
              <w14:schemeClr w14:val="tx1"/>
            </w14:solidFill>
          </w14:textFill>
        </w:rPr>
        <w:t>编号：</w:t>
      </w:r>
    </w:p>
    <w:p w14:paraId="7858071C">
      <w:pPr>
        <w:spacing w:line="360" w:lineRule="auto"/>
        <w:ind w:right="2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甲方（买方）：广东天元实业集团股份有限公司 </w:t>
      </w:r>
      <w:r>
        <w:rPr>
          <w:rFonts w:hint="eastAsia" w:ascii="宋体" w:hAnsi="宋体"/>
          <w:color w:val="000000" w:themeColor="text1"/>
          <w:sz w:val="24"/>
          <w:highlight w:val="none"/>
          <w14:textFill>
            <w14:solidFill>
              <w14:schemeClr w14:val="tx1"/>
            </w14:solidFill>
          </w14:textFill>
        </w:rPr>
        <w:tab/>
      </w:r>
    </w:p>
    <w:p w14:paraId="01A09E69">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地址：东莞市清溪青滨东路128号</w:t>
      </w:r>
    </w:p>
    <w:p w14:paraId="2CBAF5AB">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开户银行：中国建设银行东莞清溪支行</w:t>
      </w:r>
    </w:p>
    <w:p w14:paraId="554831B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银行帐号：44001779508053004841</w:t>
      </w:r>
    </w:p>
    <w:p w14:paraId="622DF28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统一社会信用代码：91441900699792784T </w:t>
      </w:r>
    </w:p>
    <w:p w14:paraId="7E954A42">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联系人/部门：</w:t>
      </w:r>
      <w:r>
        <w:rPr>
          <w:rFonts w:hint="eastAsia" w:ascii="宋体" w:hAnsi="宋体"/>
          <w:color w:val="000000" w:themeColor="text1"/>
          <w:sz w:val="24"/>
          <w:highlight w:val="none"/>
          <w:lang w:val="en-US" w:eastAsia="zh-CN"/>
          <w14:textFill>
            <w14:solidFill>
              <w14:schemeClr w14:val="tx1"/>
            </w14:solidFill>
          </w14:textFill>
        </w:rPr>
        <w:t>罗素玲</w:t>
      </w:r>
    </w:p>
    <w:p w14:paraId="6F70E788">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电话/传真：0769-89151000/0769-89152800；</w:t>
      </w:r>
    </w:p>
    <w:p w14:paraId="026D3214">
      <w:pPr>
        <w:spacing w:line="360" w:lineRule="auto"/>
        <w:rPr>
          <w:rFonts w:asciiTheme="majorEastAsia" w:hAnsiTheme="majorEastAsia" w:eastAsiaTheme="majorEastAsia" w:cstheme="majorEastAsia"/>
          <w:bCs/>
          <w:color w:val="000000" w:themeColor="text1"/>
          <w:sz w:val="24"/>
          <w:highlight w:val="none"/>
          <w14:textFill>
            <w14:solidFill>
              <w14:schemeClr w14:val="tx1"/>
            </w14:solidFill>
          </w14:textFill>
        </w:rPr>
      </w:pPr>
    </w:p>
    <w:p w14:paraId="1E6D7D2B">
      <w:pPr>
        <w:spacing w:line="360" w:lineRule="auto"/>
        <w:rPr>
          <w:rFonts w:asciiTheme="majorEastAsia" w:hAnsiTheme="majorEastAsia" w:eastAsiaTheme="majorEastAsia" w:cs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乙方（卖方）：</w:t>
      </w:r>
    </w:p>
    <w:p w14:paraId="59B346C6">
      <w:pPr>
        <w:tabs>
          <w:tab w:val="left" w:pos="720"/>
        </w:tabs>
        <w:spacing w:line="360" w:lineRule="auto"/>
        <w:ind w:left="1260" w:hanging="1260"/>
        <w:jc w:val="left"/>
        <w:rPr>
          <w:rFonts w:asciiTheme="majorEastAsia" w:hAnsiTheme="majorEastAsia" w:eastAsiaTheme="majorEastAsia" w:cs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地址：</w:t>
      </w:r>
    </w:p>
    <w:p w14:paraId="255BE5F0">
      <w:pPr>
        <w:tabs>
          <w:tab w:val="left" w:pos="720"/>
        </w:tabs>
        <w:spacing w:line="360" w:lineRule="auto"/>
        <w:ind w:left="720" w:hanging="720"/>
        <w:jc w:val="left"/>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 xml:space="preserve">开户银行: </w:t>
      </w:r>
    </w:p>
    <w:p w14:paraId="5848CB22">
      <w:pPr>
        <w:spacing w:line="360" w:lineRule="auto"/>
        <w:rPr>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统一社会信用代码：</w:t>
      </w:r>
    </w:p>
    <w:p w14:paraId="043BBFAB">
      <w:pPr>
        <w:spacing w:line="360" w:lineRule="auto"/>
        <w:rPr>
          <w:rFonts w:asciiTheme="majorEastAsia" w:hAnsiTheme="majorEastAsia" w:eastAsiaTheme="majorEastAsia" w:cs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联系人/部门：</w:t>
      </w:r>
    </w:p>
    <w:p w14:paraId="3434E3DA">
      <w:pPr>
        <w:tabs>
          <w:tab w:val="left" w:pos="720"/>
        </w:tabs>
        <w:spacing w:line="360" w:lineRule="auto"/>
        <w:jc w:val="left"/>
        <w:rPr>
          <w:rFonts w:asciiTheme="majorEastAsia" w:hAnsiTheme="majorEastAsia" w:eastAsiaTheme="majorEastAsia" w:cs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电话/传真</w:t>
      </w:r>
    </w:p>
    <w:p w14:paraId="65104F56">
      <w:pPr>
        <w:spacing w:line="360" w:lineRule="auto"/>
        <w:rPr>
          <w:rFonts w:asciiTheme="majorEastAsia" w:hAnsiTheme="majorEastAsia" w:eastAsiaTheme="majorEastAsia" w:cstheme="majorEastAsia"/>
          <w:bCs/>
          <w:color w:val="000000" w:themeColor="text1"/>
          <w:sz w:val="24"/>
          <w:highlight w:val="none"/>
          <w:u w:val="single"/>
          <w14:textFill>
            <w14:solidFill>
              <w14:schemeClr w14:val="tx1"/>
            </w14:solidFill>
          </w14:textFill>
        </w:rPr>
      </w:pP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联系邮箱：</w:t>
      </w:r>
    </w:p>
    <w:permEnd w:id="0"/>
    <w:p w14:paraId="1F044377">
      <w:pPr>
        <w:spacing w:line="360" w:lineRule="auto"/>
        <w:ind w:left="90" w:firstLine="480" w:firstLineChars="200"/>
        <w:rPr>
          <w:rFonts w:ascii="宋体" w:hAnsi="宋体"/>
          <w:color w:val="000000" w:themeColor="text1"/>
          <w:sz w:val="24"/>
          <w:highlight w:val="none"/>
          <w14:textFill>
            <w14:solidFill>
              <w14:schemeClr w14:val="tx1"/>
            </w14:solidFill>
          </w14:textFill>
        </w:rPr>
      </w:pPr>
    </w:p>
    <w:p w14:paraId="19321F8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根据《中华人民共和国民法典》及相关法律法规，本着平等自愿的原则，经双方协商一致，订立本合同。</w:t>
      </w:r>
    </w:p>
    <w:p w14:paraId="0EA1048B">
      <w:pPr>
        <w:numPr>
          <w:ilvl w:val="0"/>
          <w:numId w:val="1"/>
        </w:num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设备明细                              货币单位：人民币元</w:t>
      </w:r>
    </w:p>
    <w:tbl>
      <w:tblPr>
        <w:tblStyle w:val="9"/>
        <w:tblW w:w="1031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652"/>
        <w:gridCol w:w="400"/>
        <w:gridCol w:w="1013"/>
        <w:gridCol w:w="1013"/>
        <w:gridCol w:w="1271"/>
        <w:gridCol w:w="284"/>
        <w:gridCol w:w="1312"/>
        <w:gridCol w:w="1776"/>
      </w:tblGrid>
      <w:tr w14:paraId="7A8D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7" w:type="dxa"/>
            <w:vAlign w:val="center"/>
          </w:tcPr>
          <w:p w14:paraId="697BF1BF">
            <w:pPr>
              <w:spacing w:line="360" w:lineRule="auto"/>
              <w:jc w:val="center"/>
              <w:rPr>
                <w:rFonts w:ascii="宋体" w:hAnsi="宋体"/>
                <w:color w:val="000000" w:themeColor="text1"/>
                <w:szCs w:val="21"/>
                <w:highlight w:val="none"/>
                <w14:textFill>
                  <w14:solidFill>
                    <w14:schemeClr w14:val="tx1"/>
                  </w14:solidFill>
                </w14:textFill>
              </w:rPr>
            </w:pPr>
            <w:permStart w:id="1" w:edGrp="everyone"/>
            <w:r>
              <w:rPr>
                <w:rFonts w:hint="eastAsia" w:ascii="宋体" w:hAnsi="宋体"/>
                <w:color w:val="000000" w:themeColor="text1"/>
                <w:szCs w:val="21"/>
                <w:highlight w:val="none"/>
                <w14:textFill>
                  <w14:solidFill>
                    <w14:schemeClr w14:val="tx1"/>
                  </w14:solidFill>
                </w14:textFill>
              </w:rPr>
              <w:t>设备名称</w:t>
            </w:r>
          </w:p>
        </w:tc>
        <w:tc>
          <w:tcPr>
            <w:tcW w:w="2052" w:type="dxa"/>
            <w:gridSpan w:val="2"/>
            <w:vAlign w:val="center"/>
          </w:tcPr>
          <w:p w14:paraId="7699603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规格型号</w:t>
            </w:r>
          </w:p>
        </w:tc>
        <w:tc>
          <w:tcPr>
            <w:tcW w:w="1013" w:type="dxa"/>
          </w:tcPr>
          <w:p w14:paraId="625741A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w:t>
            </w:r>
          </w:p>
        </w:tc>
        <w:tc>
          <w:tcPr>
            <w:tcW w:w="1013" w:type="dxa"/>
            <w:vAlign w:val="center"/>
          </w:tcPr>
          <w:p w14:paraId="63398AF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 量</w:t>
            </w:r>
          </w:p>
        </w:tc>
        <w:tc>
          <w:tcPr>
            <w:tcW w:w="1555" w:type="dxa"/>
            <w:gridSpan w:val="2"/>
            <w:vAlign w:val="center"/>
          </w:tcPr>
          <w:p w14:paraId="3B423D9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单价（含税）</w:t>
            </w:r>
          </w:p>
        </w:tc>
        <w:tc>
          <w:tcPr>
            <w:tcW w:w="1312" w:type="dxa"/>
            <w:vAlign w:val="center"/>
          </w:tcPr>
          <w:p w14:paraId="76BF30B7">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总价（含税）</w:t>
            </w:r>
          </w:p>
        </w:tc>
        <w:tc>
          <w:tcPr>
            <w:tcW w:w="1776" w:type="dxa"/>
            <w:vAlign w:val="center"/>
          </w:tcPr>
          <w:p w14:paraId="5470218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交付时间</w:t>
            </w:r>
          </w:p>
        </w:tc>
      </w:tr>
      <w:tr w14:paraId="6793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597" w:type="dxa"/>
            <w:vAlign w:val="center"/>
          </w:tcPr>
          <w:p w14:paraId="5959663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tc>
        <w:tc>
          <w:tcPr>
            <w:tcW w:w="2052" w:type="dxa"/>
            <w:gridSpan w:val="2"/>
            <w:vAlign w:val="center"/>
          </w:tcPr>
          <w:p w14:paraId="5767E585">
            <w:pPr>
              <w:spacing w:line="360" w:lineRule="auto"/>
              <w:jc w:val="center"/>
              <w:rPr>
                <w:rFonts w:ascii="宋体" w:hAnsi="宋体" w:cs="宋体"/>
                <w:color w:val="000000" w:themeColor="text1"/>
                <w:szCs w:val="21"/>
                <w:highlight w:val="none"/>
                <w14:textFill>
                  <w14:solidFill>
                    <w14:schemeClr w14:val="tx1"/>
                  </w14:solidFill>
                </w14:textFill>
              </w:rPr>
            </w:pPr>
          </w:p>
        </w:tc>
        <w:tc>
          <w:tcPr>
            <w:tcW w:w="1013" w:type="dxa"/>
            <w:vAlign w:val="center"/>
          </w:tcPr>
          <w:p w14:paraId="5B51FBB4">
            <w:pPr>
              <w:spacing w:line="360" w:lineRule="auto"/>
              <w:jc w:val="center"/>
              <w:rPr>
                <w:rFonts w:ascii="宋体" w:hAnsi="宋体" w:cs="宋体"/>
                <w:color w:val="000000" w:themeColor="text1"/>
                <w:szCs w:val="21"/>
                <w:highlight w:val="none"/>
                <w14:textFill>
                  <w14:solidFill>
                    <w14:schemeClr w14:val="tx1"/>
                  </w14:solidFill>
                </w14:textFill>
              </w:rPr>
            </w:pPr>
          </w:p>
        </w:tc>
        <w:tc>
          <w:tcPr>
            <w:tcW w:w="1013" w:type="dxa"/>
            <w:vAlign w:val="center"/>
          </w:tcPr>
          <w:p w14:paraId="4A6B276B">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5" w:type="dxa"/>
            <w:gridSpan w:val="2"/>
            <w:vAlign w:val="center"/>
          </w:tcPr>
          <w:p w14:paraId="2854D948">
            <w:pPr>
              <w:spacing w:line="360" w:lineRule="auto"/>
              <w:jc w:val="center"/>
              <w:rPr>
                <w:rFonts w:ascii="宋体" w:hAnsi="宋体" w:cs="宋体"/>
                <w:color w:val="000000" w:themeColor="text1"/>
                <w:szCs w:val="21"/>
                <w:highlight w:val="none"/>
                <w14:textFill>
                  <w14:solidFill>
                    <w14:schemeClr w14:val="tx1"/>
                  </w14:solidFill>
                </w14:textFill>
              </w:rPr>
            </w:pPr>
          </w:p>
        </w:tc>
        <w:tc>
          <w:tcPr>
            <w:tcW w:w="1312" w:type="dxa"/>
            <w:vAlign w:val="center"/>
          </w:tcPr>
          <w:p w14:paraId="3E086A64">
            <w:pPr>
              <w:spacing w:line="360" w:lineRule="auto"/>
              <w:jc w:val="center"/>
              <w:rPr>
                <w:rFonts w:ascii="宋体" w:hAnsi="宋体" w:cs="宋体"/>
                <w:color w:val="000000" w:themeColor="text1"/>
                <w:szCs w:val="21"/>
                <w:highlight w:val="none"/>
                <w14:textFill>
                  <w14:solidFill>
                    <w14:schemeClr w14:val="tx1"/>
                  </w14:solidFill>
                </w14:textFill>
              </w:rPr>
            </w:pPr>
          </w:p>
        </w:tc>
        <w:tc>
          <w:tcPr>
            <w:tcW w:w="1776" w:type="dxa"/>
            <w:vAlign w:val="center"/>
          </w:tcPr>
          <w:p w14:paraId="505E2555">
            <w:pPr>
              <w:spacing w:line="360" w:lineRule="auto"/>
              <w:ind w:right="42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tc>
      </w:tr>
      <w:tr w14:paraId="1901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597" w:type="dxa"/>
            <w:vAlign w:val="center"/>
          </w:tcPr>
          <w:p w14:paraId="09A474D4">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052" w:type="dxa"/>
            <w:gridSpan w:val="2"/>
            <w:vAlign w:val="center"/>
          </w:tcPr>
          <w:p w14:paraId="2CAA3116">
            <w:pPr>
              <w:spacing w:line="360" w:lineRule="auto"/>
              <w:jc w:val="center"/>
              <w:rPr>
                <w:rFonts w:ascii="宋体" w:hAnsi="宋体" w:cs="宋体"/>
                <w:color w:val="000000" w:themeColor="text1"/>
                <w:szCs w:val="21"/>
                <w:highlight w:val="none"/>
                <w14:textFill>
                  <w14:solidFill>
                    <w14:schemeClr w14:val="tx1"/>
                  </w14:solidFill>
                </w14:textFill>
              </w:rPr>
            </w:pPr>
          </w:p>
        </w:tc>
        <w:tc>
          <w:tcPr>
            <w:tcW w:w="1013" w:type="dxa"/>
            <w:vAlign w:val="center"/>
          </w:tcPr>
          <w:p w14:paraId="1FD93F03">
            <w:pPr>
              <w:spacing w:line="360" w:lineRule="auto"/>
              <w:jc w:val="center"/>
              <w:rPr>
                <w:rFonts w:ascii="宋体" w:hAnsi="宋体" w:cs="宋体"/>
                <w:color w:val="000000" w:themeColor="text1"/>
                <w:szCs w:val="21"/>
                <w:highlight w:val="none"/>
                <w14:textFill>
                  <w14:solidFill>
                    <w14:schemeClr w14:val="tx1"/>
                  </w14:solidFill>
                </w14:textFill>
              </w:rPr>
            </w:pPr>
          </w:p>
        </w:tc>
        <w:tc>
          <w:tcPr>
            <w:tcW w:w="1013" w:type="dxa"/>
            <w:vAlign w:val="center"/>
          </w:tcPr>
          <w:p w14:paraId="6BE1203D">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5" w:type="dxa"/>
            <w:gridSpan w:val="2"/>
            <w:vAlign w:val="center"/>
          </w:tcPr>
          <w:p w14:paraId="3A4EA390">
            <w:pPr>
              <w:spacing w:line="360" w:lineRule="auto"/>
              <w:jc w:val="center"/>
              <w:rPr>
                <w:rFonts w:ascii="宋体" w:hAnsi="宋体" w:cs="宋体"/>
                <w:color w:val="000000" w:themeColor="text1"/>
                <w:szCs w:val="21"/>
                <w:highlight w:val="none"/>
                <w14:textFill>
                  <w14:solidFill>
                    <w14:schemeClr w14:val="tx1"/>
                  </w14:solidFill>
                </w14:textFill>
              </w:rPr>
            </w:pPr>
          </w:p>
        </w:tc>
        <w:tc>
          <w:tcPr>
            <w:tcW w:w="1312" w:type="dxa"/>
            <w:vAlign w:val="center"/>
          </w:tcPr>
          <w:p w14:paraId="7072CA81">
            <w:pPr>
              <w:spacing w:line="360" w:lineRule="auto"/>
              <w:jc w:val="center"/>
              <w:rPr>
                <w:rFonts w:ascii="宋体" w:hAnsi="宋体" w:cs="宋体"/>
                <w:color w:val="000000" w:themeColor="text1"/>
                <w:szCs w:val="21"/>
                <w:highlight w:val="none"/>
                <w14:textFill>
                  <w14:solidFill>
                    <w14:schemeClr w14:val="tx1"/>
                  </w14:solidFill>
                </w14:textFill>
              </w:rPr>
            </w:pPr>
          </w:p>
        </w:tc>
        <w:tc>
          <w:tcPr>
            <w:tcW w:w="1776" w:type="dxa"/>
            <w:vAlign w:val="center"/>
          </w:tcPr>
          <w:p w14:paraId="2B88D0B5">
            <w:pPr>
              <w:spacing w:line="360" w:lineRule="auto"/>
              <w:ind w:right="420"/>
              <w:jc w:val="center"/>
              <w:rPr>
                <w:rFonts w:hint="eastAsia" w:ascii="宋体" w:hAnsi="宋体" w:cs="宋体"/>
                <w:color w:val="000000" w:themeColor="text1"/>
                <w:szCs w:val="21"/>
                <w:highlight w:val="none"/>
                <w14:textFill>
                  <w14:solidFill>
                    <w14:schemeClr w14:val="tx1"/>
                  </w14:solidFill>
                </w14:textFill>
              </w:rPr>
            </w:pPr>
          </w:p>
        </w:tc>
      </w:tr>
      <w:tr w14:paraId="1F07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3249" w:type="dxa"/>
            <w:gridSpan w:val="2"/>
            <w:vAlign w:val="center"/>
          </w:tcPr>
          <w:p w14:paraId="5209EB4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合同总价（含13%税、含运费）</w:t>
            </w:r>
          </w:p>
        </w:tc>
        <w:tc>
          <w:tcPr>
            <w:tcW w:w="3697" w:type="dxa"/>
            <w:gridSpan w:val="4"/>
          </w:tcPr>
          <w:p w14:paraId="6FB13D1F">
            <w:pPr>
              <w:spacing w:line="360" w:lineRule="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人民币大写：</w:t>
            </w:r>
          </w:p>
        </w:tc>
        <w:tc>
          <w:tcPr>
            <w:tcW w:w="3372" w:type="dxa"/>
            <w:gridSpan w:val="3"/>
            <w:vAlign w:val="center"/>
          </w:tcPr>
          <w:p w14:paraId="21A81939">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元</w:t>
            </w:r>
          </w:p>
        </w:tc>
      </w:tr>
      <w:permEnd w:id="1"/>
    </w:tbl>
    <w:p w14:paraId="6AC11C30">
      <w:pPr>
        <w:spacing w:line="360" w:lineRule="auto"/>
        <w:ind w:firstLine="480"/>
        <w:rPr>
          <w:rFonts w:cs="宋体" w:asciiTheme="minorEastAsia" w:hAnsiTheme="minorEastAsia" w:eastAsia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特别约定：</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本合同设备总价包含包装费、运输费、装卸费、安装调试费、培训费等甲方为使用本合同设备所产生的一切费用。</w:t>
      </w:r>
      <w:r>
        <w:rPr>
          <w:rFonts w:hint="eastAsia" w:cs="宋体" w:asciiTheme="minorEastAsia" w:hAnsiTheme="minorEastAsia" w:eastAsiaTheme="minorEastAsia"/>
          <w:color w:val="000000" w:themeColor="text1"/>
          <w:sz w:val="24"/>
          <w:highlight w:val="none"/>
          <w14:textFill>
            <w14:solidFill>
              <w14:schemeClr w14:val="tx1"/>
            </w14:solidFill>
          </w14:textFill>
        </w:rPr>
        <w:t>设备应配备金属材质的标牌（铭牌），标</w:t>
      </w:r>
      <w:r>
        <w:rPr>
          <w:rFonts w:hint="eastAsia" w:cs="宋体" w:asciiTheme="minorEastAsia" w:hAnsiTheme="minorEastAsia" w:eastAsiaTheme="minorEastAsia"/>
          <w:color w:val="000000" w:themeColor="text1"/>
          <w:sz w:val="24"/>
          <w:highlight w:val="none"/>
          <w:shd w:val="clear" w:color="auto" w:fill="FFFFFF"/>
          <w14:textFill>
            <w14:solidFill>
              <w14:schemeClr w14:val="tx1"/>
            </w14:solidFill>
          </w14:textFill>
        </w:rPr>
        <w:t>牌应按国家相关标准制作。标牌上应清晰显示设备名称、设备型号、出厂编码、出厂日期、制造商名称与联系方式等信息，如</w:t>
      </w:r>
      <w:r>
        <w:rPr>
          <w:rFonts w:hint="eastAsia" w:asciiTheme="minorEastAsia" w:hAnsiTheme="minorEastAsia" w:eastAsiaTheme="minorEastAsia"/>
          <w:color w:val="000000" w:themeColor="text1"/>
          <w:sz w:val="24"/>
          <w:highlight w:val="none"/>
          <w:shd w:val="clear" w:color="auto" w:fill="FFFFFF"/>
          <w14:textFill>
            <w14:solidFill>
              <w14:schemeClr w14:val="tx1"/>
            </w14:solidFill>
          </w14:textFill>
        </w:rPr>
        <w:t>涉及能效的设备，应标示能效等级标识。</w:t>
      </w:r>
      <w:r>
        <w:rPr>
          <w:rFonts w:hint="eastAsia" w:cs="宋体" w:asciiTheme="minorEastAsia" w:hAnsiTheme="minorEastAsia" w:eastAsiaTheme="minorEastAsia"/>
          <w:color w:val="000000" w:themeColor="text1"/>
          <w:sz w:val="24"/>
          <w:highlight w:val="none"/>
          <w:shd w:val="clear" w:color="auto" w:fill="FFFFFF"/>
          <w14:textFill>
            <w14:solidFill>
              <w14:schemeClr w14:val="tx1"/>
            </w14:solidFill>
          </w14:textFill>
        </w:rPr>
        <w:t>标牌信息需与发票、合同上的信息相匹配， 设备标牌上的所有信息必须机打，不得修改。</w:t>
      </w:r>
    </w:p>
    <w:p w14:paraId="5501820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第二条 设备交付/交期和运输方法</w:t>
      </w:r>
    </w:p>
    <w:p w14:paraId="361770B9">
      <w:pPr>
        <w:spacing w:line="360" w:lineRule="auto"/>
        <w:ind w:left="719" w:leftChars="228" w:hanging="240" w:hanging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双方同意本合同约定的设备交付和运输方法如下，交付时乙方要向甲方提供装箱清单：</w:t>
      </w:r>
    </w:p>
    <w:p w14:paraId="5E79D8EA">
      <w:pPr>
        <w:spacing w:line="360" w:lineRule="auto"/>
        <w:ind w:firstLine="480" w:firstLineChars="200"/>
        <w:rPr>
          <w:rFonts w:hint="default" w:ascii="宋体" w:hAnsi="宋体" w:eastAsia="宋体"/>
          <w:color w:val="000000" w:themeColor="text1"/>
          <w:sz w:val="24"/>
          <w:highlight w:val="none"/>
          <w:u w:val="none"/>
          <w:lang w:val="en-US" w:eastAsia="zh-CN"/>
          <w14:textFill>
            <w14:solidFill>
              <w14:schemeClr w14:val="tx1"/>
            </w14:solidFill>
          </w14:textFill>
        </w:rPr>
      </w:pPr>
      <w:permStart w:id="2" w:edGrp="everyone"/>
      <w:r>
        <w:rPr>
          <w:rFonts w:hint="eastAsia" w:ascii="宋体" w:hAnsi="宋体"/>
          <w:color w:val="000000" w:themeColor="text1"/>
          <w:sz w:val="24"/>
          <w:highlight w:val="none"/>
          <w14:textFill>
            <w14:solidFill>
              <w14:schemeClr w14:val="tx1"/>
            </w14:solidFill>
          </w14:textFill>
        </w:rPr>
        <w:t>2.1</w:t>
      </w:r>
      <w:r>
        <w:rPr>
          <w:rFonts w:hint="eastAsia" w:ascii="宋体" w:hAnsi="宋体"/>
          <w:color w:val="000000" w:themeColor="text1"/>
          <w:sz w:val="24"/>
          <w:highlight w:val="none"/>
          <w:lang w:val="en-US" w:eastAsia="zh-CN"/>
          <w14:textFill>
            <w14:solidFill>
              <w14:schemeClr w14:val="tx1"/>
            </w14:solidFill>
          </w14:textFill>
        </w:rPr>
        <w:t>交货地址和收货人：</w:t>
      </w:r>
      <w:r>
        <w:rPr>
          <w:rFonts w:hint="eastAsia" w:ascii="宋体" w:hAnsi="宋体"/>
          <w:color w:val="000000" w:themeColor="text1"/>
          <w:sz w:val="24"/>
          <w:highlight w:val="none"/>
          <w:u w:val="single"/>
          <w:lang w:val="en-US" w:eastAsia="zh-CN"/>
          <w14:textFill>
            <w14:solidFill>
              <w14:schemeClr w14:val="tx1"/>
            </w14:solidFill>
          </w14:textFill>
        </w:rPr>
        <w:t xml:space="preserve">                </w:t>
      </w:r>
      <w:bookmarkStart w:id="14" w:name="_GoBack"/>
      <w:bookmarkEnd w:id="14"/>
      <w:r>
        <w:rPr>
          <w:rFonts w:hint="eastAsia" w:ascii="宋体" w:hAnsi="宋体"/>
          <w:color w:val="000000" w:themeColor="text1"/>
          <w:sz w:val="24"/>
          <w:highlight w:val="none"/>
          <w:u w:val="single"/>
          <w:lang w:val="en-US" w:eastAsia="zh-CN"/>
          <w14:textFill>
            <w14:solidFill>
              <w14:schemeClr w14:val="tx1"/>
            </w14:solidFill>
          </w14:textFill>
        </w:rPr>
        <w:t xml:space="preserve">                                      </w:t>
      </w:r>
    </w:p>
    <w:permEnd w:id="2"/>
    <w:p w14:paraId="55310C61">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签订本合同后在甲乙双方约定的时间</w:t>
      </w:r>
      <w:r>
        <w:rPr>
          <w:rFonts w:hint="eastAsia" w:ascii="宋体" w:hAnsi="宋体"/>
          <w:color w:val="000000" w:themeColor="text1"/>
          <w:sz w:val="24"/>
          <w:highlight w:val="none"/>
          <w:u w:val="none"/>
          <w:lang w:val="en-US" w:eastAsia="zh-CN"/>
          <w14:textFill>
            <w14:solidFill>
              <w14:schemeClr w14:val="tx1"/>
            </w14:solidFill>
          </w14:textFill>
        </w:rPr>
        <w:t>内</w:t>
      </w:r>
      <w:r>
        <w:rPr>
          <w:rFonts w:hint="eastAsia" w:ascii="宋体" w:hAnsi="宋体"/>
          <w:color w:val="000000" w:themeColor="text1"/>
          <w:sz w:val="24"/>
          <w:highlight w:val="none"/>
          <w14:textFill>
            <w14:solidFill>
              <w14:schemeClr w14:val="tx1"/>
            </w14:solidFill>
          </w14:textFill>
        </w:rPr>
        <w:t>，乙方送货到甲方指定地点，乙方承担负责设备的包装、运输、安装、调试，在甲方工厂交付设备，甲方对设备的卸放提供必要的协助</w:t>
      </w:r>
      <w:r>
        <w:rPr>
          <w:rFonts w:hint="eastAsia" w:ascii="宋体" w:hAnsi="宋体"/>
          <w:color w:val="000000" w:themeColor="text1"/>
          <w:sz w:val="24"/>
          <w:highlight w:val="none"/>
          <w:lang w:val="en-US" w:eastAsia="zh-CN"/>
          <w14:textFill>
            <w14:solidFill>
              <w14:schemeClr w14:val="tx1"/>
            </w14:solidFill>
          </w14:textFill>
        </w:rPr>
        <w:t>,设备到达</w:t>
      </w:r>
      <w:r>
        <w:rPr>
          <w:rFonts w:hint="eastAsia" w:ascii="宋体" w:hAnsi="宋体"/>
          <w:color w:val="000000" w:themeColor="text1"/>
          <w:sz w:val="24"/>
          <w:highlight w:val="none"/>
          <w14:textFill>
            <w14:solidFill>
              <w14:schemeClr w14:val="tx1"/>
            </w14:solidFill>
          </w14:textFill>
        </w:rPr>
        <w:t>甲方</w:t>
      </w:r>
      <w:r>
        <w:rPr>
          <w:rFonts w:hint="eastAsia" w:ascii="宋体" w:hAnsi="宋体"/>
          <w:color w:val="000000" w:themeColor="text1"/>
          <w:sz w:val="24"/>
          <w:highlight w:val="none"/>
          <w:lang w:val="en-US" w:eastAsia="zh-CN"/>
          <w14:textFill>
            <w14:solidFill>
              <w14:schemeClr w14:val="tx1"/>
            </w14:solidFill>
          </w14:textFill>
        </w:rPr>
        <w:t>后，</w:t>
      </w:r>
      <w:r>
        <w:rPr>
          <w:rFonts w:hint="eastAsia" w:ascii="宋体" w:hAnsi="宋体"/>
          <w:color w:val="000000" w:themeColor="text1"/>
          <w:sz w:val="24"/>
          <w:highlight w:val="none"/>
          <w14:textFill>
            <w14:solidFill>
              <w14:schemeClr w14:val="tx1"/>
            </w14:solidFill>
          </w14:textFill>
        </w:rPr>
        <w:t>乙方</w:t>
      </w:r>
      <w:r>
        <w:rPr>
          <w:rFonts w:hint="eastAsia" w:ascii="宋体" w:hAnsi="宋体"/>
          <w:color w:val="000000" w:themeColor="text1"/>
          <w:sz w:val="24"/>
          <w:highlight w:val="none"/>
          <w:lang w:val="en-US" w:eastAsia="zh-CN"/>
          <w14:textFill>
            <w14:solidFill>
              <w14:schemeClr w14:val="tx1"/>
            </w14:solidFill>
          </w14:textFill>
        </w:rPr>
        <w:t>同步</w:t>
      </w:r>
      <w:r>
        <w:rPr>
          <w:rFonts w:hint="eastAsia" w:ascii="宋体" w:hAnsi="宋体"/>
          <w:color w:val="000000" w:themeColor="text1"/>
          <w:sz w:val="24"/>
          <w:highlight w:val="none"/>
          <w14:textFill>
            <w14:solidFill>
              <w14:schemeClr w14:val="tx1"/>
            </w14:solidFill>
          </w14:textFill>
        </w:rPr>
        <w:t>派技术人员上门安装，安装应在乙方技术人员上门安装</w:t>
      </w:r>
      <w:r>
        <w:rPr>
          <w:rFonts w:hint="eastAsia" w:ascii="宋体" w:hAnsi="宋体"/>
          <w:color w:val="000000" w:themeColor="text1"/>
          <w:sz w:val="24"/>
          <w:highlight w:val="none"/>
          <w:u w:val="singl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天内完成，乙方保证机器设备能正常满足甲方的生产需求。</w:t>
      </w:r>
    </w:p>
    <w:p w14:paraId="122C6F2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第三条  结算方式：</w:t>
      </w:r>
    </w:p>
    <w:p w14:paraId="3116015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3.1预付款为合同总价的</w:t>
      </w:r>
      <w:r>
        <w:rPr>
          <w:rFonts w:hint="eastAsia" w:ascii="宋体" w:hAnsi="宋体"/>
          <w:color w:val="000000" w:themeColor="text1"/>
          <w:sz w:val="24"/>
          <w:highlight w:val="none"/>
          <w:lang w:val="en-US" w:eastAsia="zh-CN"/>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w:t>
      </w:r>
      <w:permStart w:id="3" w:edGrp="everyone"/>
      <w:r>
        <w:rPr>
          <w:rFonts w:hint="eastAsia" w:ascii="宋体" w:hAnsi="宋体"/>
          <w:color w:val="000000" w:themeColor="text1"/>
          <w:sz w:val="24"/>
          <w:highlight w:val="none"/>
          <w14:textFill>
            <w14:solidFill>
              <w14:schemeClr w14:val="tx1"/>
            </w14:solidFill>
          </w14:textFill>
        </w:rPr>
        <w:t>人民币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w:t>
      </w:r>
      <w:permEnd w:id="3"/>
      <w:r>
        <w:rPr>
          <w:rFonts w:hint="eastAsia" w:ascii="宋体" w:hAnsi="宋体"/>
          <w:color w:val="000000" w:themeColor="text1"/>
          <w:sz w:val="24"/>
          <w:highlight w:val="none"/>
          <w14:textFill>
            <w14:solidFill>
              <w14:schemeClr w14:val="tx1"/>
            </w14:solidFill>
          </w14:textFill>
        </w:rPr>
        <w:t>），本合同签订后</w:t>
      </w:r>
      <w:r>
        <w:rPr>
          <w:rFonts w:hint="eastAsia" w:ascii="宋体" w:hAnsi="宋体"/>
          <w:color w:val="000000" w:themeColor="text1"/>
          <w:sz w:val="24"/>
          <w:highlight w:val="non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个工作日内甲方向乙方支付该款项；</w:t>
      </w:r>
    </w:p>
    <w:p w14:paraId="3A73E815">
      <w:pPr>
        <w:numPr>
          <w:ilvl w:val="0"/>
          <w:numId w:val="0"/>
        </w:numPr>
        <w:spacing w:line="360" w:lineRule="auto"/>
        <w:ind w:left="0" w:leftChars="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3.2第二期款项为合同总价的</w:t>
      </w:r>
      <w:r>
        <w:rPr>
          <w:rFonts w:hint="eastAsia" w:ascii="宋体" w:hAnsi="宋体"/>
          <w:color w:val="000000" w:themeColor="text1"/>
          <w:sz w:val="24"/>
          <w:highlight w:val="none"/>
          <w:lang w:val="en-US" w:eastAsia="zh-CN"/>
          <w14:textFill>
            <w14:solidFill>
              <w14:schemeClr w14:val="tx1"/>
            </w14:solidFill>
          </w14:textFill>
        </w:rPr>
        <w:t>20</w:t>
      </w:r>
      <w:r>
        <w:rPr>
          <w:rFonts w:hint="eastAsia" w:ascii="宋体" w:hAnsi="宋体"/>
          <w:color w:val="000000" w:themeColor="text1"/>
          <w:sz w:val="24"/>
          <w:highlight w:val="none"/>
          <w14:textFill>
            <w14:solidFill>
              <w14:schemeClr w14:val="tx1"/>
            </w14:solidFill>
          </w14:textFill>
        </w:rPr>
        <w:t>%（</w:t>
      </w:r>
      <w:permStart w:id="4" w:edGrp="everyone"/>
      <w:r>
        <w:rPr>
          <w:rFonts w:hint="eastAsia" w:ascii="宋体" w:hAnsi="宋体"/>
          <w:color w:val="000000" w:themeColor="text1"/>
          <w:sz w:val="24"/>
          <w:highlight w:val="none"/>
          <w14:textFill>
            <w14:solidFill>
              <w14:schemeClr w14:val="tx1"/>
            </w14:solidFill>
          </w14:textFill>
        </w:rPr>
        <w:t>人民币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w:t>
      </w:r>
      <w:permEnd w:id="4"/>
      <w:r>
        <w:rPr>
          <w:rFonts w:hint="eastAsia" w:ascii="宋体" w:hAnsi="宋体"/>
          <w:color w:val="000000" w:themeColor="text1"/>
          <w:sz w:val="24"/>
          <w:highlight w:val="none"/>
          <w14:textFill>
            <w14:solidFill>
              <w14:schemeClr w14:val="tx1"/>
            </w14:solidFill>
          </w14:textFill>
        </w:rPr>
        <w:t>），约定设备已制造完毕、设备机械图纸、保养手册、电路图、维保书、</w:t>
      </w:r>
      <w:r>
        <w:rPr>
          <w:rFonts w:hint="eastAsia" w:ascii="宋体" w:hAnsi="宋体"/>
          <w:color w:val="000000" w:themeColor="text1"/>
          <w:sz w:val="24"/>
          <w:highlight w:val="none"/>
          <w:lang w:val="en-US" w:eastAsia="zh-CN"/>
          <w14:textFill>
            <w14:solidFill>
              <w14:schemeClr w14:val="tx1"/>
            </w14:solidFill>
          </w14:textFill>
        </w:rPr>
        <w:t>驱动程序</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密码</w:t>
      </w:r>
      <w:r>
        <w:rPr>
          <w:rFonts w:hint="eastAsia" w:ascii="宋体" w:hAnsi="宋体"/>
          <w:color w:val="000000" w:themeColor="text1"/>
          <w:sz w:val="24"/>
          <w:highlight w:val="none"/>
          <w14:textFill>
            <w14:solidFill>
              <w14:schemeClr w14:val="tx1"/>
            </w14:solidFill>
          </w14:textFill>
        </w:rPr>
        <w:t>等全套资料交付给甲方，并提供设备相关知识产权授权书，包括但不限于设备使用、设备设计图、电路图、乙方商标、标志、标记等</w:t>
      </w:r>
      <w:r>
        <w:rPr>
          <w:rFonts w:hint="eastAsia" w:ascii="宋体" w:hAnsi="宋体"/>
          <w:color w:val="000000" w:themeColor="text1"/>
          <w:sz w:val="24"/>
          <w:highlight w:val="none"/>
          <w:lang w:val="en-US" w:eastAsia="zh-CN"/>
          <w14:textFill>
            <w14:solidFill>
              <w14:schemeClr w14:val="tx1"/>
            </w14:solidFill>
          </w14:textFill>
        </w:rPr>
        <w:t>资料，</w:t>
      </w:r>
      <w:r>
        <w:rPr>
          <w:rFonts w:hint="eastAsia" w:ascii="宋体" w:hAnsi="宋体"/>
          <w:color w:val="000000" w:themeColor="text1"/>
          <w:sz w:val="24"/>
          <w:highlight w:val="none"/>
          <w14:textFill>
            <w14:solidFill>
              <w14:schemeClr w14:val="tx1"/>
            </w14:solidFill>
          </w14:textFill>
        </w:rPr>
        <w:t>经甲方初步验收</w:t>
      </w:r>
      <w:r>
        <w:rPr>
          <w:rFonts w:hint="eastAsia" w:ascii="宋体" w:hAnsi="宋体"/>
          <w:color w:val="000000" w:themeColor="text1"/>
          <w:sz w:val="24"/>
          <w:highlight w:val="none"/>
          <w:lang w:val="en-US" w:eastAsia="zh-CN"/>
          <w14:textFill>
            <w14:solidFill>
              <w14:schemeClr w14:val="tx1"/>
            </w14:solidFill>
          </w14:textFill>
        </w:rPr>
        <w:t>确定设备</w:t>
      </w:r>
      <w:r>
        <w:rPr>
          <w:rFonts w:hint="eastAsia" w:ascii="宋体" w:hAnsi="宋体"/>
          <w:color w:val="000000" w:themeColor="text1"/>
          <w:sz w:val="24"/>
          <w:highlight w:val="none"/>
          <w14:textFill>
            <w14:solidFill>
              <w14:schemeClr w14:val="tx1"/>
            </w14:solidFill>
          </w14:textFill>
        </w:rPr>
        <w:t>合格</w:t>
      </w:r>
      <w:r>
        <w:rPr>
          <w:rFonts w:hint="eastAsia" w:ascii="宋体" w:hAnsi="宋体"/>
          <w:color w:val="000000" w:themeColor="text1"/>
          <w:sz w:val="24"/>
          <w:highlight w:val="none"/>
          <w:lang w:val="en-US" w:eastAsia="zh-CN"/>
          <w14:textFill>
            <w14:solidFill>
              <w14:schemeClr w14:val="tx1"/>
            </w14:solidFill>
          </w14:textFill>
        </w:rPr>
        <w:t>后</w:t>
      </w:r>
      <w:r>
        <w:rPr>
          <w:rFonts w:hint="eastAsia" w:ascii="宋体" w:hAnsi="宋体"/>
          <w:color w:val="000000" w:themeColor="text1"/>
          <w:sz w:val="24"/>
          <w:highlight w:val="none"/>
          <w14:textFill>
            <w14:solidFill>
              <w14:schemeClr w14:val="tx1"/>
            </w14:solidFill>
          </w14:textFill>
        </w:rPr>
        <w:t>，在此情形下，乙方开具送货数量的合同全额款项之发票，甲方收到全额款项发票后</w:t>
      </w:r>
      <w:r>
        <w:rPr>
          <w:rFonts w:hint="eastAsia" w:ascii="宋体" w:hAnsi="宋体"/>
          <w:color w:val="000000" w:themeColor="text1"/>
          <w:sz w:val="24"/>
          <w:highlight w:val="none"/>
          <w:u w:val="singl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个工作日内向乙方支付第二期款项；</w:t>
      </w:r>
    </w:p>
    <w:p w14:paraId="09AD032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3.3第三期款为合同总价</w:t>
      </w:r>
      <w:r>
        <w:rPr>
          <w:rFonts w:hint="eastAsia" w:ascii="宋体" w:hAnsi="宋体"/>
          <w:color w:val="000000" w:themeColor="text1"/>
          <w:sz w:val="24"/>
          <w:highlight w:val="none"/>
          <w:lang w:val="en-US" w:eastAsia="zh-CN"/>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w:t>
      </w:r>
      <w:permStart w:id="5" w:edGrp="everyone"/>
      <w:r>
        <w:rPr>
          <w:rFonts w:hint="eastAsia" w:ascii="宋体" w:hAnsi="宋体"/>
          <w:color w:val="000000" w:themeColor="text1"/>
          <w:sz w:val="24"/>
          <w:highlight w:val="none"/>
          <w14:textFill>
            <w14:solidFill>
              <w14:schemeClr w14:val="tx1"/>
            </w14:solidFill>
          </w14:textFill>
        </w:rPr>
        <w:t>人民币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w:t>
      </w:r>
      <w:permEnd w:id="5"/>
      <w:r>
        <w:rPr>
          <w:rFonts w:hint="eastAsia" w:ascii="宋体" w:hAnsi="宋体"/>
          <w:color w:val="000000" w:themeColor="text1"/>
          <w:sz w:val="24"/>
          <w:highlight w:val="none"/>
          <w14:textFill>
            <w14:solidFill>
              <w14:schemeClr w14:val="tx1"/>
            </w14:solidFill>
          </w14:textFill>
        </w:rPr>
        <w:t>），合同约定设备已交付甲方、且已完成安装、调试验收合格、运行正常,并运行</w:t>
      </w:r>
      <w:r>
        <w:rPr>
          <w:rFonts w:hint="eastAsia" w:ascii="宋体" w:hAnsi="宋体"/>
          <w:color w:val="000000" w:themeColor="text1"/>
          <w:sz w:val="24"/>
          <w:highlight w:val="none"/>
          <w:u w:val="single"/>
          <w:lang w:val="en-US" w:eastAsia="zh-CN"/>
          <w14:textFill>
            <w14:solidFill>
              <w14:schemeClr w14:val="tx1"/>
            </w14:solidFill>
          </w14:textFill>
        </w:rPr>
        <w:t>18</w:t>
      </w:r>
      <w:r>
        <w:rPr>
          <w:rFonts w:hint="eastAsia" w:ascii="宋体" w:hAnsi="宋体"/>
          <w:color w:val="000000" w:themeColor="text1"/>
          <w:sz w:val="24"/>
          <w:highlight w:val="none"/>
          <w:u w:val="singl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天后无质量实质性异常，在此情形下，甲方于</w:t>
      </w:r>
      <w:r>
        <w:rPr>
          <w:rFonts w:hint="eastAsia" w:ascii="宋体" w:hAnsi="宋体"/>
          <w:color w:val="000000" w:themeColor="text1"/>
          <w:sz w:val="24"/>
          <w:highlight w:val="none"/>
          <w:u w:val="singl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个工作日内向乙方支付第三期款项。</w:t>
      </w:r>
    </w:p>
    <w:p w14:paraId="09E8461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第</w:t>
      </w:r>
      <w:r>
        <w:rPr>
          <w:rFonts w:hint="eastAsia" w:ascii="宋体" w:hAnsi="宋体"/>
          <w:color w:val="000000" w:themeColor="text1"/>
          <w:sz w:val="24"/>
          <w:highlight w:val="none"/>
          <w:lang w:val="en-US" w:eastAsia="zh-CN"/>
          <w14:textFill>
            <w14:solidFill>
              <w14:schemeClr w14:val="tx1"/>
            </w14:solidFill>
          </w14:textFill>
        </w:rPr>
        <w:t>四</w:t>
      </w:r>
      <w:r>
        <w:rPr>
          <w:rFonts w:hint="eastAsia" w:ascii="宋体" w:hAnsi="宋体"/>
          <w:color w:val="000000" w:themeColor="text1"/>
          <w:sz w:val="24"/>
          <w:highlight w:val="none"/>
          <w14:textFill>
            <w14:solidFill>
              <w14:schemeClr w14:val="tx1"/>
            </w14:solidFill>
          </w14:textFill>
        </w:rPr>
        <w:t>期款为合同总价</w:t>
      </w:r>
      <w:r>
        <w:rPr>
          <w:rFonts w:hint="eastAsia" w:ascii="宋体" w:hAnsi="宋体"/>
          <w:color w:val="000000" w:themeColor="text1"/>
          <w:sz w:val="24"/>
          <w:highlight w:val="none"/>
          <w:lang w:val="en-US" w:eastAsia="zh-CN"/>
          <w14:textFill>
            <w14:solidFill>
              <w14:schemeClr w14:val="tx1"/>
            </w14:solidFill>
          </w14:textFill>
        </w:rPr>
        <w:t>20</w:t>
      </w:r>
      <w:r>
        <w:rPr>
          <w:rFonts w:hint="eastAsia" w:ascii="宋体" w:hAnsi="宋体"/>
          <w:color w:val="000000" w:themeColor="text1"/>
          <w:sz w:val="24"/>
          <w:highlight w:val="none"/>
          <w14:textFill>
            <w14:solidFill>
              <w14:schemeClr w14:val="tx1"/>
            </w14:solidFill>
          </w14:textFill>
        </w:rPr>
        <w:t>%(</w:t>
      </w:r>
      <w:permStart w:id="6" w:edGrp="everyone"/>
      <w:r>
        <w:rPr>
          <w:rFonts w:hint="eastAsia" w:ascii="宋体" w:hAnsi="宋体"/>
          <w:color w:val="000000" w:themeColor="text1"/>
          <w:sz w:val="24"/>
          <w:highlight w:val="none"/>
          <w14:textFill>
            <w14:solidFill>
              <w14:schemeClr w14:val="tx1"/>
            </w14:solidFill>
          </w14:textFill>
        </w:rPr>
        <w:t>人民币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w:t>
      </w:r>
      <w:permEnd w:id="6"/>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合同约定质保期届满</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乙方未发生违约情形，且设备正常使用的，</w:t>
      </w:r>
      <w:r>
        <w:rPr>
          <w:rFonts w:hint="eastAsia" w:ascii="宋体" w:hAnsi="宋体"/>
          <w:color w:val="000000" w:themeColor="text1"/>
          <w:sz w:val="24"/>
          <w:highlight w:val="none"/>
          <w14:textFill>
            <w14:solidFill>
              <w14:schemeClr w14:val="tx1"/>
            </w14:solidFill>
          </w14:textFill>
        </w:rPr>
        <w:t>在此情形下，甲方于</w:t>
      </w:r>
      <w:r>
        <w:rPr>
          <w:rFonts w:hint="eastAsia" w:ascii="宋体" w:hAnsi="宋体"/>
          <w:color w:val="000000" w:themeColor="text1"/>
          <w:sz w:val="24"/>
          <w:highlight w:val="none"/>
          <w:lang w:val="en-US" w:eastAsia="zh-CN"/>
          <w14:textFill>
            <w14:solidFill>
              <w14:schemeClr w14:val="tx1"/>
            </w14:solidFill>
          </w14:textFill>
        </w:rPr>
        <w:t>质保期届满之日起</w:t>
      </w:r>
      <w:r>
        <w:rPr>
          <w:rFonts w:hint="eastAsia" w:ascii="宋体" w:hAnsi="宋体"/>
          <w:color w:val="000000" w:themeColor="text1"/>
          <w:sz w:val="24"/>
          <w:highlight w:val="none"/>
          <w:u w:val="singl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个工作日内向乙方支付第</w:t>
      </w:r>
      <w:r>
        <w:rPr>
          <w:rFonts w:hint="eastAsia" w:ascii="宋体" w:hAnsi="宋体"/>
          <w:color w:val="000000" w:themeColor="text1"/>
          <w:sz w:val="24"/>
          <w:highlight w:val="none"/>
          <w:lang w:val="en-US" w:eastAsia="zh-CN"/>
          <w14:textFill>
            <w14:solidFill>
              <w14:schemeClr w14:val="tx1"/>
            </w14:solidFill>
          </w14:textFill>
        </w:rPr>
        <w:t>四</w:t>
      </w:r>
      <w:r>
        <w:rPr>
          <w:rFonts w:hint="eastAsia" w:ascii="宋体" w:hAnsi="宋体"/>
          <w:color w:val="000000" w:themeColor="text1"/>
          <w:sz w:val="24"/>
          <w:highlight w:val="none"/>
          <w14:textFill>
            <w14:solidFill>
              <w14:schemeClr w14:val="tx1"/>
            </w14:solidFill>
          </w14:textFill>
        </w:rPr>
        <w:t>期款项。</w:t>
      </w:r>
    </w:p>
    <w:p w14:paraId="718AF615">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3.5</w:t>
      </w:r>
      <w:r>
        <w:rPr>
          <w:rFonts w:hint="eastAsia" w:ascii="宋体" w:hAnsi="宋体"/>
          <w:color w:val="000000" w:themeColor="text1"/>
          <w:sz w:val="24"/>
          <w:highlight w:val="none"/>
          <w14:textFill>
            <w14:solidFill>
              <w14:schemeClr w14:val="tx1"/>
            </w14:solidFill>
          </w14:textFill>
        </w:rPr>
        <w:t>乙方开具的发票上的信息如设备名称、型号等必须与设备铭牌上的相关信息相对应，不得出现遗漏的情况</w:t>
      </w:r>
      <w:r>
        <w:rPr>
          <w:rFonts w:hint="eastAsia" w:ascii="宋体" w:hAnsi="宋体"/>
          <w:color w:val="000000" w:themeColor="text1"/>
          <w:sz w:val="24"/>
          <w:highlight w:val="none"/>
          <w:lang w:eastAsia="zh-CN"/>
          <w14:textFill>
            <w14:solidFill>
              <w14:schemeClr w14:val="tx1"/>
            </w14:solidFill>
          </w14:textFill>
        </w:rPr>
        <w:t>。</w:t>
      </w:r>
    </w:p>
    <w:p w14:paraId="72768CB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第四条  包装标准</w:t>
      </w:r>
    </w:p>
    <w:p w14:paraId="539B4BD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4.1</w:t>
      </w:r>
      <w:r>
        <w:rPr>
          <w:rFonts w:hint="eastAsia" w:ascii="宋体" w:hAnsi="宋体"/>
          <w:color w:val="000000" w:themeColor="text1"/>
          <w:sz w:val="24"/>
          <w:highlight w:val="none"/>
          <w14:textFill>
            <w14:solidFill>
              <w14:schemeClr w14:val="tx1"/>
            </w14:solidFill>
          </w14:textFill>
        </w:rPr>
        <w:t>乙方设备的包装要符合规定，且适合长途运输、多次搬运和装卸，并有减振、防冲击的措施。包装应按设备特点，按需要分别加上防潮、防霉、防锈、防腐蚀的保护措施，以保证货物在没有任何损坏和腐蚀的情况下安全运抵合同指定的地方。</w:t>
      </w:r>
    </w:p>
    <w:p w14:paraId="3F98D4C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第五条  安装、调试和验收</w:t>
      </w:r>
    </w:p>
    <w:p w14:paraId="377062F3">
      <w:pPr>
        <w:spacing w:line="360" w:lineRule="auto"/>
        <w:ind w:firstLine="480" w:firstLineChars="200"/>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5.1本合同设备到达甲方后，乙方即时派调试人员到达甲方进行安装、调试。甲方可提供起重和搬运工具及人力、工具等相关条件来辅助乙方，乙方负责按甲方要求安装到指定位置，如因乙方摆放、安装调试中发生事故造成人身伤亡或财产受损的，由乙方承担赔偿及法律责任。</w:t>
      </w:r>
    </w:p>
    <w:p w14:paraId="06432DF9">
      <w:pPr>
        <w:keepNext w:val="0"/>
        <w:keepLines w:val="0"/>
        <w:widowControl/>
        <w:suppressLineNumbers w:val="0"/>
        <w:spacing w:line="360" w:lineRule="auto"/>
        <w:ind w:firstLine="480" w:firstLineChars="200"/>
        <w:jc w:val="left"/>
        <w:rPr>
          <w:rFonts w:hint="default" w:eastAsiaTheme="minorEastAsia"/>
          <w:highlight w:val="none"/>
          <w:lang w:val="en-US" w:eastAsia="zh-CN"/>
        </w:rPr>
      </w:pPr>
      <w:r>
        <w:rPr>
          <w:rFonts w:hint="eastAsia" w:asciiTheme="minorEastAsia" w:hAnsiTheme="minorEastAsia" w:eastAsiaTheme="minorEastAsia" w:cstheme="minorEastAsia"/>
          <w:color w:val="000000" w:themeColor="text1"/>
          <w:sz w:val="24"/>
          <w:highlight w:val="none"/>
          <w:shd w:val="clear" w:color="auto" w:fill="FFFFFF"/>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kern w:val="2"/>
          <w:sz w:val="24"/>
          <w:szCs w:val="24"/>
          <w:highlight w:val="none"/>
          <w:shd w:val="clear" w:color="auto" w:fill="FFFFFF"/>
          <w:lang w:val="en-US" w:eastAsia="zh-CN" w:bidi="ar"/>
          <w14:textFill>
            <w14:solidFill>
              <w14:schemeClr w14:val="tx1"/>
            </w14:solidFill>
          </w14:textFill>
        </w:rPr>
        <w:t>本合同设备安装完毕并调试至正常使用后，为使甲方工作人员能够正确使用和保养本合同设备，乙方应当在甲方现场进行机器的调试和对机器操作工的最后免费培训。</w:t>
      </w:r>
    </w:p>
    <w:p w14:paraId="52DFE0C5">
      <w:pPr>
        <w:spacing w:line="360" w:lineRule="auto"/>
        <w:ind w:firstLine="480" w:firstLineChars="200"/>
        <w:rPr>
          <w:rFonts w:hint="default" w:ascii="宋体" w:hAnsi="宋体"/>
          <w:color w:val="000000" w:themeColor="text1"/>
          <w:sz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合同设备的验收标准：按双方约定的设备技术指标、技术资</w:t>
      </w:r>
      <w:r>
        <w:rPr>
          <w:rFonts w:hint="eastAsia" w:ascii="宋体" w:hAnsi="宋体"/>
          <w:color w:val="000000" w:themeColor="text1"/>
          <w:sz w:val="24"/>
          <w:highlight w:val="none"/>
          <w14:textFill>
            <w14:solidFill>
              <w14:schemeClr w14:val="tx1"/>
            </w14:solidFill>
          </w14:textFill>
        </w:rPr>
        <w:t>料和配置进行验收；如双方约定技术指标不全或不清晰，同意按国家标准或行业标准验收；如前述标准尚无法验收，双方同意以该设备所生产产品达到甲方样品或甲方客户需求为标准。</w:t>
      </w:r>
      <w:r>
        <w:rPr>
          <w:rFonts w:hint="eastAsia" w:ascii="宋体" w:hAnsi="宋体"/>
          <w:color w:val="000000" w:themeColor="text1"/>
          <w:sz w:val="24"/>
          <w:highlight w:val="none"/>
          <w:lang w:val="en-US" w:eastAsia="zh-CN"/>
          <w14:textFill>
            <w14:solidFill>
              <w14:schemeClr w14:val="tx1"/>
            </w14:solidFill>
          </w14:textFill>
        </w:rPr>
        <w:t>乙方确保该设备的整体以及软硬件等不存在侵犯他人商标、专利、工业设计等知识产权的情形，如因侵权造成甲方损失（包括但不限于被索赔、影响生产等）由乙方负责赔偿损失并支付本合同总金额30％标准的违约金，不足以弥补损失的可继续向乙方追偿。</w:t>
      </w:r>
    </w:p>
    <w:p w14:paraId="0E247123">
      <w:p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5.4设备验收由甲方组织使用部门对设备进行验收，验收合格的，由甲方出具书面盖章的验收合格证明，至此即视为设备通过验收；除上述程序办理外，甲方任何个人的书面确认或意思表示，在任何情况下均不表示已验收合格。验收合格仅为合同设备符合设计或约定标准的初步认定，不表示对乙方设备潜在质量瑕疵或缺陷的认可，不作为乙方日后降低或减免设备质量的理由。</w:t>
      </w:r>
    </w:p>
    <w:p w14:paraId="031D6767">
      <w:p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5.5经甲方验收后，设备不符合本合同要求及双方的约定，乙方应当按照甲方要求更换、修理或重做；若经更换、修理或重做后的货物仍不符合本合同要求及双方的约定，甲方可以任意选择如下处理方式：（1）解除合同，乙方退还所有甲方已支付的全部货款，赔偿甲方全部损失，并向甲方支付合同金额的30%违约金；（2）甲方有权暂停支付款项，要求乙方更换符合合同约定的设备并按照本合同约定重</w:t>
      </w:r>
      <w:bookmarkStart w:id="0" w:name="_bookmark13"/>
      <w:bookmarkEnd w:id="0"/>
      <w:r>
        <w:rPr>
          <w:rFonts w:hint="eastAsia" w:ascii="宋体" w:hAnsi="宋体"/>
          <w:color w:val="000000" w:themeColor="text1"/>
          <w:sz w:val="24"/>
          <w:highlight w:val="none"/>
          <w:lang w:val="en-US" w:eastAsia="zh-CN"/>
          <w14:textFill>
            <w14:solidFill>
              <w14:schemeClr w14:val="tx1"/>
            </w14:solidFill>
          </w14:textFill>
        </w:rPr>
        <w:t>新安装调试，因此逾期交付的， 乙方应按照本合同第10.2条承担延迟交货的违约责任；（3）按照货物的疵劣程度，损坏的范围和甲方所遭受的损失，减少合同价款对货物采取降级接收。</w:t>
      </w:r>
    </w:p>
    <w:p w14:paraId="4616F06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第六条  乙方对质量的承诺</w:t>
      </w:r>
    </w:p>
    <w:p w14:paraId="3EF07F7B">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6.1本合同设备质量保证期至少为设备验收合格之日起一年，如国家强制标准或双方另行约定超过一年的，以较长时间为准。在质量保证期内，对质量之问题的服务响应时间为</w:t>
      </w:r>
      <w:r>
        <w:rPr>
          <w:rFonts w:hint="eastAsia" w:ascii="宋体" w:hAnsi="宋体"/>
          <w:color w:val="000000" w:themeColor="text1"/>
          <w:sz w:val="24"/>
          <w:highlight w:val="none"/>
          <w:u w:val="single"/>
          <w14:textFill>
            <w14:solidFill>
              <w14:schemeClr w14:val="tx1"/>
            </w14:solidFill>
          </w14:textFill>
        </w:rPr>
        <w:t xml:space="preserve"> 2  </w:t>
      </w:r>
      <w:r>
        <w:rPr>
          <w:rFonts w:hint="eastAsia" w:ascii="宋体" w:hAnsi="宋体"/>
          <w:color w:val="000000" w:themeColor="text1"/>
          <w:sz w:val="24"/>
          <w:highlight w:val="none"/>
          <w14:textFill>
            <w14:solidFill>
              <w14:schemeClr w14:val="tx1"/>
            </w14:solidFill>
          </w14:textFill>
        </w:rPr>
        <w:t>小时，接到甲方通知或要求，应在</w:t>
      </w:r>
      <w:r>
        <w:rPr>
          <w:rFonts w:hint="eastAsia" w:ascii="宋体" w:hAnsi="宋体"/>
          <w:color w:val="000000" w:themeColor="text1"/>
          <w:sz w:val="24"/>
          <w:highlight w:val="none"/>
          <w:u w:val="single"/>
          <w14:textFill>
            <w14:solidFill>
              <w14:schemeClr w14:val="tx1"/>
            </w14:solidFill>
          </w14:textFill>
        </w:rPr>
        <w:t xml:space="preserve"> 8 </w:t>
      </w:r>
      <w:r>
        <w:rPr>
          <w:rFonts w:hint="eastAsia" w:ascii="宋体" w:hAnsi="宋体"/>
          <w:color w:val="000000" w:themeColor="text1"/>
          <w:sz w:val="24"/>
          <w:highlight w:val="none"/>
          <w14:textFill>
            <w14:solidFill>
              <w14:schemeClr w14:val="tx1"/>
            </w14:solidFill>
          </w14:textFill>
        </w:rPr>
        <w:t>小时内到现场排除质量问题。</w:t>
      </w:r>
    </w:p>
    <w:p w14:paraId="209CB48E">
      <w:p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6.2</w:t>
      </w:r>
      <w:r>
        <w:rPr>
          <w:rFonts w:hint="eastAsia" w:ascii="宋体" w:hAnsi="宋体"/>
          <w:color w:val="000000" w:themeColor="text1"/>
          <w:sz w:val="24"/>
          <w:highlight w:val="none"/>
          <w14:textFill>
            <w14:solidFill>
              <w14:schemeClr w14:val="tx1"/>
            </w14:solidFill>
          </w14:textFill>
        </w:rPr>
        <w:t>若乙方</w:t>
      </w:r>
      <w:r>
        <w:rPr>
          <w:rFonts w:hint="eastAsia" w:ascii="宋体" w:hAnsi="宋体"/>
          <w:color w:val="000000" w:themeColor="text1"/>
          <w:sz w:val="24"/>
          <w:highlight w:val="none"/>
          <w:lang w:val="en-US" w:eastAsia="zh-CN"/>
          <w14:textFill>
            <w14:solidFill>
              <w14:schemeClr w14:val="tx1"/>
            </w14:solidFill>
          </w14:textFill>
        </w:rPr>
        <w:t>到现场</w:t>
      </w:r>
      <w:r>
        <w:rPr>
          <w:rFonts w:hint="eastAsia" w:ascii="宋体" w:hAnsi="宋体"/>
          <w:color w:val="000000" w:themeColor="text1"/>
          <w:sz w:val="24"/>
          <w:highlight w:val="none"/>
          <w14:textFill>
            <w14:solidFill>
              <w14:schemeClr w14:val="tx1"/>
            </w14:solidFill>
          </w14:textFill>
        </w:rPr>
        <w:t>后</w:t>
      </w:r>
      <w:permStart w:id="7" w:edGrp="everyone"/>
      <w:r>
        <w:rPr>
          <w:rFonts w:hint="eastAsia" w:ascii="宋体" w:hAnsi="宋体"/>
          <w:color w:val="000000" w:themeColor="text1"/>
          <w:sz w:val="24"/>
          <w:highlight w:val="none"/>
          <w:u w:val="single"/>
          <w14:textFill>
            <w14:solidFill>
              <w14:schemeClr w14:val="tx1"/>
            </w14:solidFill>
          </w14:textFill>
        </w:rPr>
        <w:t xml:space="preserve">        </w:t>
      </w:r>
      <w:permEnd w:id="7"/>
      <w:r>
        <w:rPr>
          <w:rFonts w:hint="eastAsia" w:ascii="宋体" w:hAnsi="宋体"/>
          <w:color w:val="000000" w:themeColor="text1"/>
          <w:sz w:val="24"/>
          <w:highlight w:val="none"/>
          <w14:textFill>
            <w14:solidFill>
              <w14:schemeClr w14:val="tx1"/>
            </w14:solidFill>
          </w14:textFill>
        </w:rPr>
        <w:t>天内</w:t>
      </w:r>
      <w:r>
        <w:rPr>
          <w:rFonts w:hint="eastAsia" w:ascii="宋体" w:hAnsi="宋体"/>
          <w:color w:val="000000" w:themeColor="text1"/>
          <w:sz w:val="24"/>
          <w:highlight w:val="none"/>
          <w:lang w:val="en-US" w:eastAsia="zh-CN"/>
          <w14:textFill>
            <w14:solidFill>
              <w14:schemeClr w14:val="tx1"/>
            </w14:solidFill>
          </w14:textFill>
        </w:rPr>
        <w:t>仍</w:t>
      </w:r>
      <w:r>
        <w:rPr>
          <w:rFonts w:hint="eastAsia" w:ascii="宋体" w:hAnsi="宋体"/>
          <w:color w:val="000000" w:themeColor="text1"/>
          <w:sz w:val="24"/>
          <w:highlight w:val="none"/>
          <w14:textFill>
            <w14:solidFill>
              <w14:schemeClr w14:val="tx1"/>
            </w14:solidFill>
          </w14:textFill>
        </w:rPr>
        <w:t>不能解决该设备问题，</w:t>
      </w:r>
      <w:r>
        <w:rPr>
          <w:rFonts w:hint="eastAsia" w:ascii="宋体" w:hAnsi="宋体"/>
          <w:color w:val="000000" w:themeColor="text1"/>
          <w:sz w:val="24"/>
          <w:highlight w:val="none"/>
          <w:lang w:val="en-US" w:eastAsia="zh-CN"/>
          <w14:textFill>
            <w14:solidFill>
              <w14:schemeClr w14:val="tx1"/>
            </w14:solidFill>
          </w14:textFill>
        </w:rPr>
        <w:t>致使</w:t>
      </w:r>
      <w:r>
        <w:rPr>
          <w:rFonts w:hint="eastAsia" w:ascii="宋体" w:hAnsi="宋体"/>
          <w:color w:val="000000" w:themeColor="text1"/>
          <w:sz w:val="24"/>
          <w:highlight w:val="none"/>
          <w14:textFill>
            <w14:solidFill>
              <w14:schemeClr w14:val="tx1"/>
            </w14:solidFill>
          </w14:textFill>
        </w:rPr>
        <w:t>设备尚无法正常使用的，每延迟一天支付设备总金额的</w:t>
      </w:r>
      <w:r>
        <w:rPr>
          <w:rFonts w:hint="eastAsia" w:ascii="宋体" w:hAnsi="宋体"/>
          <w:color w:val="000000" w:themeColor="text1"/>
          <w:sz w:val="24"/>
          <w:highlight w:val="none"/>
          <w:lang w:val="en-US" w:eastAsia="zh-CN"/>
          <w14:textFill>
            <w14:solidFill>
              <w14:schemeClr w14:val="tx1"/>
            </w14:solidFill>
          </w14:textFill>
        </w:rPr>
        <w:t>万分之三</w:t>
      </w:r>
      <w:r>
        <w:rPr>
          <w:rFonts w:hint="eastAsia" w:ascii="宋体" w:hAnsi="宋体"/>
          <w:color w:val="000000" w:themeColor="text1"/>
          <w:sz w:val="24"/>
          <w:highlight w:val="none"/>
          <w14:textFill>
            <w14:solidFill>
              <w14:schemeClr w14:val="tx1"/>
            </w14:solidFill>
          </w14:textFill>
        </w:rPr>
        <w:t>作为违约金。迟延</w:t>
      </w:r>
      <w:permStart w:id="8" w:edGrp="everyone"/>
      <w:r>
        <w:rPr>
          <w:rFonts w:hint="eastAsia" w:ascii="宋体" w:hAnsi="宋体"/>
          <w:color w:val="000000" w:themeColor="text1"/>
          <w:sz w:val="24"/>
          <w:highlight w:val="none"/>
          <w:u w:val="single"/>
          <w14:textFill>
            <w14:solidFill>
              <w14:schemeClr w14:val="tx1"/>
            </w14:solidFill>
          </w14:textFill>
        </w:rPr>
        <w:t xml:space="preserve">        </w:t>
      </w:r>
      <w:permEnd w:id="8"/>
      <w:r>
        <w:rPr>
          <w:rFonts w:hint="eastAsia" w:ascii="宋体" w:hAnsi="宋体"/>
          <w:color w:val="000000" w:themeColor="text1"/>
          <w:sz w:val="24"/>
          <w:highlight w:val="none"/>
          <w14:textFill>
            <w14:solidFill>
              <w14:schemeClr w14:val="tx1"/>
            </w14:solidFill>
          </w14:textFill>
        </w:rPr>
        <w:t>天以上甲方有权单方委托第三方修复，由此产生的费用由乙方承担。</w:t>
      </w:r>
    </w:p>
    <w:p w14:paraId="4B8D03C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乙方保证其供应给甲方的零配件、设备是全新的，质量保证期内维修不收取费用，由于人为原因损坏的不在保修范围内。</w:t>
      </w:r>
    </w:p>
    <w:p w14:paraId="24E07BC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质量保证期满后如需更换配件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补充耗材</w:t>
      </w:r>
      <w:r>
        <w:rPr>
          <w:rFonts w:hint="eastAsia" w:ascii="宋体" w:hAnsi="宋体"/>
          <w:color w:val="000000" w:themeColor="text1"/>
          <w:sz w:val="24"/>
          <w:highlight w:val="none"/>
          <w14:textFill>
            <w14:solidFill>
              <w14:schemeClr w14:val="tx1"/>
            </w14:solidFill>
          </w14:textFill>
        </w:rPr>
        <w:t>，乙方只收取成本费或按乙方服务项目另行约定</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配件、耗材及维保服务费结算方式必须为货到付款</w:t>
      </w:r>
      <w:r>
        <w:rPr>
          <w:rFonts w:hint="eastAsia" w:ascii="宋体" w:hAnsi="宋体"/>
          <w:color w:val="000000" w:themeColor="text1"/>
          <w:sz w:val="24"/>
          <w:highlight w:val="none"/>
          <w14:textFill>
            <w14:solidFill>
              <w14:schemeClr w14:val="tx1"/>
            </w14:solidFill>
          </w14:textFill>
        </w:rPr>
        <w:t>。</w:t>
      </w:r>
    </w:p>
    <w:p w14:paraId="40C841B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设备设计使用年限为</w:t>
      </w:r>
      <w:r>
        <w:rPr>
          <w:rFonts w:hint="eastAsia" w:ascii="宋体" w:hAnsi="宋体"/>
          <w:color w:val="000000" w:themeColor="text1"/>
          <w:sz w:val="24"/>
          <w:highlight w:val="none"/>
          <w:u w:val="single"/>
          <w:lang w:val="en-US" w:eastAsia="zh-CN"/>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年。乙方保证按照国家和行业相关质量和安全标准及厂家技术文件的要求，进行设备制造和安装。在设备正常使用期限内，乙方应对由于设计、制造及材料缺陷而发生的可能直接导致设备报废或人身伤害的严重质量事故负责，甲方有权向乙方提出索赔。</w:t>
      </w:r>
    </w:p>
    <w:p w14:paraId="0F5A2D9A">
      <w:pPr>
        <w:spacing w:line="360" w:lineRule="auto"/>
        <w:ind w:firstLine="480" w:firstLineChars="200"/>
        <w:rPr>
          <w:rFonts w:hint="default" w:ascii="宋体" w:hAnsi="宋体"/>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整机保修</w:t>
      </w:r>
      <w:r>
        <w:rPr>
          <w:rFonts w:hint="eastAsia" w:ascii="宋体" w:hAnsi="宋体"/>
          <w:color w:val="000000" w:themeColor="text1"/>
          <w:sz w:val="24"/>
          <w:highlight w:val="none"/>
          <w:u w:val="single"/>
          <w14:textFill>
            <w14:solidFill>
              <w14:schemeClr w14:val="tx1"/>
            </w14:solidFill>
          </w14:textFill>
        </w:rPr>
        <w:t>二年</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乙方交付的</w:t>
      </w:r>
      <w:r>
        <w:rPr>
          <w:rFonts w:hint="eastAsia" w:ascii="宋体" w:hAnsi="宋体"/>
          <w:color w:val="000000" w:themeColor="text1"/>
          <w:sz w:val="24"/>
          <w:highlight w:val="none"/>
          <w14:textFill>
            <w14:solidFill>
              <w14:schemeClr w14:val="tx1"/>
            </w14:solidFill>
          </w14:textFill>
        </w:rPr>
        <w:t>设备在保修期内发生三次或以上的同一故障导致需要维修</w:t>
      </w:r>
      <w:r>
        <w:rPr>
          <w:rFonts w:hint="eastAsia" w:ascii="宋体" w:hAnsi="宋体"/>
          <w:color w:val="000000" w:themeColor="text1"/>
          <w:sz w:val="24"/>
          <w:highlight w:val="none"/>
          <w:lang w:val="en-US" w:eastAsia="zh-CN"/>
          <w14:textFill>
            <w14:solidFill>
              <w14:schemeClr w14:val="tx1"/>
            </w14:solidFill>
          </w14:textFill>
        </w:rPr>
        <w:t>且最终无法修复</w:t>
      </w:r>
      <w:r>
        <w:rPr>
          <w:rFonts w:hint="eastAsia" w:ascii="宋体" w:hAnsi="宋体"/>
          <w:color w:val="000000" w:themeColor="text1"/>
          <w:sz w:val="24"/>
          <w:highlight w:val="none"/>
          <w14:textFill>
            <w14:solidFill>
              <w14:schemeClr w14:val="tx1"/>
            </w14:solidFill>
          </w14:textFill>
        </w:rPr>
        <w:t>的，甲方有权要求无条件退货或者换货</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甲方选择退货的，乙方应在收到甲方退货通知后7天内退回甲方支付的全部款项，并向甲方承担合同金额的30%违约金。保修期满后,乙方以成本价为用户提供设备维修服务,乙方设有备品备件库，负责为用户以成本价提供备品备件服务。</w:t>
      </w:r>
    </w:p>
    <w:p w14:paraId="7156441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lang w:val="en-US" w:eastAsia="zh-CN"/>
          <w14:textFill>
            <w14:solidFill>
              <w14:schemeClr w14:val="tx1"/>
            </w14:solidFill>
          </w14:textFill>
        </w:rPr>
        <w:t>7如根据国家和行业相关质量和安全标准及厂家技术文件的要求，甲方采购的设备或设备的组成部件应有的质量保证期与</w:t>
      </w:r>
      <w:r>
        <w:rPr>
          <w:rFonts w:hint="eastAsia" w:ascii="宋体" w:hAnsi="宋体"/>
          <w:b/>
          <w:bCs/>
          <w:color w:val="000000" w:themeColor="text1"/>
          <w:sz w:val="24"/>
          <w:highlight w:val="none"/>
          <w:u w:val="single"/>
          <w:lang w:val="en-US" w:eastAsia="zh-CN"/>
          <w14:textFill>
            <w14:solidFill>
              <w14:schemeClr w14:val="tx1"/>
            </w14:solidFill>
          </w14:textFill>
        </w:rPr>
        <w:t>第六条 乙方对质量的承诺</w:t>
      </w:r>
      <w:r>
        <w:rPr>
          <w:rFonts w:hint="eastAsia" w:ascii="宋体" w:hAnsi="宋体"/>
          <w:color w:val="000000" w:themeColor="text1"/>
          <w:sz w:val="24"/>
          <w:highlight w:val="none"/>
          <w:lang w:val="en-US" w:eastAsia="zh-CN"/>
          <w14:textFill>
            <w14:solidFill>
              <w14:schemeClr w14:val="tx1"/>
            </w14:solidFill>
          </w14:textFill>
        </w:rPr>
        <w:t>约定的相关使用年限、整机保修等条款不一致的，则适用本合同或相关要求中更长的使用年限或设备保修期</w:t>
      </w:r>
      <w:r>
        <w:rPr>
          <w:rFonts w:hint="eastAsia" w:ascii="宋体" w:hAnsi="宋体"/>
          <w:color w:val="000000" w:themeColor="text1"/>
          <w:sz w:val="24"/>
          <w:highlight w:val="none"/>
          <w14:textFill>
            <w14:solidFill>
              <w14:schemeClr w14:val="tx1"/>
            </w14:solidFill>
          </w14:textFill>
        </w:rPr>
        <w:t>。</w:t>
      </w:r>
    </w:p>
    <w:p w14:paraId="72E831F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第七条  技术服务</w:t>
      </w:r>
    </w:p>
    <w:p w14:paraId="3A0C3E7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7.1乙方及时提供与本合同设备有关的设计方案、安装、调试、验收、运行、检修等相应的技术指导、技术培训等全过程的服务、清晰明确的技术资料（合格证等）、配置清单、易损件名录和相关的操作指引。</w:t>
      </w:r>
    </w:p>
    <w:p w14:paraId="2DE5F05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7.2.根据约定乙方派代表到现场进行技术服务，培训指导甲方按乙方的技术资料进行运行操作和维护，并负责解决合同设备在安装调试、试运行中发现的制造质量及性能等有关问题。</w:t>
      </w:r>
    </w:p>
    <w:p w14:paraId="494EFBF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7.3乙方承诺在设备的使用过程中按照不低于第六条约定的承诺内容提供相应的技术服务。</w:t>
      </w:r>
    </w:p>
    <w:p w14:paraId="49A985E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7.4乙方保证向甲方及时提供合同约定设备升级换代或改进的最新资讯，且确保以最低优惠价格对合同约定设备提供后续可能的改进服务。</w:t>
      </w:r>
    </w:p>
    <w:p w14:paraId="092247B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第八条  设备检验</w:t>
      </w:r>
    </w:p>
    <w:p w14:paraId="7C8A567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8.1乙方承诺由乙方供应的所有合同设备／部件，在生产过程中都进行严格的检验和试验，出厂前进行部套和／或整机总装和试验。</w:t>
      </w:r>
    </w:p>
    <w:p w14:paraId="30827EE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8.2甲方在接收设备之前，应对设备进行数量和外观等方面的全面检查，若在检查过程中发现有任何损坏或短缺，甲方有责任保护现场并拍照，立即填写设备损坏情况证明，请求运输单位予以证明，并在设备开箱后最迟5个工作日内以书面形式通知乙方，同时提供给乙方其他必要的材料。</w:t>
      </w:r>
    </w:p>
    <w:p w14:paraId="1A27AD6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8.3如双方现场检验时，发现设备由于乙方原因（包括运输）有任何损坏、缺陷、短少或不符合合同中规定的质量标准和规范时，应做好记录，并由双方代表签字，各执一份，作为甲方向乙方提出修理或更换的依据</w:t>
      </w:r>
      <w:bookmarkStart w:id="1" w:name="_Toc18080317"/>
      <w:bookmarkStart w:id="2" w:name="_Toc98745401"/>
      <w:r>
        <w:rPr>
          <w:rFonts w:hint="eastAsia" w:ascii="宋体" w:hAnsi="宋体"/>
          <w:color w:val="000000" w:themeColor="text1"/>
          <w:sz w:val="24"/>
          <w:highlight w:val="none"/>
          <w14:textFill>
            <w14:solidFill>
              <w14:schemeClr w14:val="tx1"/>
            </w14:solidFill>
          </w14:textFill>
        </w:rPr>
        <w:t>。</w:t>
      </w:r>
    </w:p>
    <w:bookmarkEnd w:id="1"/>
    <w:bookmarkEnd w:id="2"/>
    <w:p w14:paraId="6CEDED56">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3" w:name="_Hlt7017111"/>
      <w:bookmarkEnd w:id="3"/>
      <w:bookmarkStart w:id="4" w:name="_Toc98745406"/>
      <w:bookmarkStart w:id="5" w:name="_Toc18080322"/>
      <w:bookmarkStart w:id="6" w:name="_Toc98037160"/>
      <w:r>
        <w:rPr>
          <w:rFonts w:hint="eastAsia" w:ascii="宋体" w:hAnsi="宋体"/>
          <w:color w:val="000000" w:themeColor="text1"/>
          <w:sz w:val="24"/>
          <w:highlight w:val="none"/>
          <w14:textFill>
            <w14:solidFill>
              <w14:schemeClr w14:val="tx1"/>
            </w14:solidFill>
          </w14:textFill>
        </w:rPr>
        <w:t>第九条  不可抗力</w:t>
      </w:r>
    </w:p>
    <w:p w14:paraId="61212F4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不可抗力是指台风、洪水、地震、火灾和爆炸、战争、动乱、疫情。合同双方中的任何一方，由于不可抗力事件而影响合同义务的执行时，则延迟履行合同义务的期限相当于不可抗力事件影响的时间，但是不能因为不可抗力的延迟而调整合同价格。</w:t>
      </w:r>
    </w:p>
    <w:p w14:paraId="52EB0E0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9.2受到不可抗力影响的一方应在不可抗力事故发生后，尽快将所发生的事件的情况以传真或邮件通知另一方，并在 3 个工作日内将相关证明文件提交给另一方审阅确认，受影响的一方同时应尽量设法缩小这种影响和由此而引起的延误，一旦不可抗力的影响消除后，应将此情况立即通知对方。</w:t>
      </w:r>
    </w:p>
    <w:p w14:paraId="4071D96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9.3如双方对不可抗力事件的影响估计将延续到 30 日以上时，双方应通过友好协商解决本合同执行问题（包括交货、安装、试运行和验收等问题）。</w:t>
      </w:r>
    </w:p>
    <w:p w14:paraId="12B3A3E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第十条 </w:t>
      </w:r>
      <w:r>
        <w:rPr>
          <w:rFonts w:hint="eastAsia" w:ascii="宋体" w:hAnsi="宋体"/>
          <w:color w:val="000000" w:themeColor="text1"/>
          <w:sz w:val="24"/>
          <w:highlight w:val="none"/>
          <w:lang w:val="en-US" w:eastAsia="zh-CN"/>
          <w14:textFill>
            <w14:solidFill>
              <w14:schemeClr w14:val="tx1"/>
            </w14:solidFill>
          </w14:textFill>
        </w:rPr>
        <w:t>违约责任</w:t>
      </w:r>
    </w:p>
    <w:p w14:paraId="53E153C7">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10.1双方确认本合同所约定的交付时间为乙方设备交付到甲方指定交货地点的最后截止时间。</w:t>
      </w:r>
    </w:p>
    <w:p w14:paraId="25A3EBB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10.2如乙方设备交付时间晚于约定的交付时间，每延迟一日乙方应按设备款</w:t>
      </w:r>
      <w:r>
        <w:rPr>
          <w:rFonts w:hint="eastAsia" w:ascii="宋体" w:hAnsi="宋体"/>
          <w:color w:val="000000" w:themeColor="text1"/>
          <w:sz w:val="24"/>
          <w:highlight w:val="none"/>
          <w:lang w:val="en-US" w:eastAsia="zh-CN"/>
          <w14:textFill>
            <w14:solidFill>
              <w14:schemeClr w14:val="tx1"/>
            </w14:solidFill>
          </w14:textFill>
        </w:rPr>
        <w:t>万</w:t>
      </w:r>
      <w:r>
        <w:rPr>
          <w:rFonts w:hint="eastAsia" w:ascii="宋体" w:hAnsi="宋体"/>
          <w:color w:val="000000" w:themeColor="text1"/>
          <w:sz w:val="24"/>
          <w:highlight w:val="none"/>
          <w14:textFill>
            <w14:solidFill>
              <w14:schemeClr w14:val="tx1"/>
            </w14:solidFill>
          </w14:textFill>
        </w:rPr>
        <w:t>分之</w:t>
      </w:r>
      <w:r>
        <w:rPr>
          <w:rFonts w:hint="eastAsia" w:ascii="宋体" w:hAnsi="宋体"/>
          <w:color w:val="000000" w:themeColor="text1"/>
          <w:sz w:val="24"/>
          <w:highlight w:val="none"/>
          <w:lang w:val="en-US" w:eastAsia="zh-CN"/>
          <w14:textFill>
            <w14:solidFill>
              <w14:schemeClr w14:val="tx1"/>
            </w14:solidFill>
          </w14:textFill>
        </w:rPr>
        <w:t>五</w:t>
      </w:r>
      <w:r>
        <w:rPr>
          <w:rFonts w:hint="eastAsia" w:ascii="宋体" w:hAnsi="宋体"/>
          <w:color w:val="000000" w:themeColor="text1"/>
          <w:sz w:val="24"/>
          <w:highlight w:val="none"/>
          <w14:textFill>
            <w14:solidFill>
              <w14:schemeClr w14:val="tx1"/>
            </w14:solidFill>
          </w14:textFill>
        </w:rPr>
        <w:t>每日承担违约金。如延迟超过约定的交付时间达</w:t>
      </w:r>
      <w:r>
        <w:rPr>
          <w:rFonts w:hint="eastAsia" w:ascii="宋体" w:hAnsi="宋体"/>
          <w:color w:val="000000" w:themeColor="text1"/>
          <w:sz w:val="24"/>
          <w:highlight w:val="none"/>
          <w:u w:val="single"/>
          <w14:textFill>
            <w14:solidFill>
              <w14:schemeClr w14:val="tx1"/>
            </w14:solidFill>
          </w14:textFill>
        </w:rPr>
        <w:t xml:space="preserve"> 15 </w:t>
      </w:r>
      <w:r>
        <w:rPr>
          <w:rFonts w:hint="eastAsia" w:ascii="宋体" w:hAnsi="宋体"/>
          <w:color w:val="000000" w:themeColor="text1"/>
          <w:sz w:val="24"/>
          <w:highlight w:val="none"/>
          <w14:textFill>
            <w14:solidFill>
              <w14:schemeClr w14:val="tx1"/>
            </w14:solidFill>
          </w14:textFill>
        </w:rPr>
        <w:t>日及其以上的，甲方有权解除本合同，乙方应支付合同总金额20%的违约金给甲方，且退回已收取的全部款项。</w:t>
      </w:r>
    </w:p>
    <w:p w14:paraId="345DB6D4">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10.3如因乙方设备出厂时没有调试好，导致在甲方调试时材料超常损耗或增加设备成本，乙方应承担材料超常损耗和增加设备成本的费用。</w:t>
      </w:r>
      <w:r>
        <w:rPr>
          <w:rFonts w:hint="eastAsia" w:ascii="宋体" w:hAnsi="宋体"/>
          <w:color w:val="000000" w:themeColor="text1"/>
          <w:sz w:val="24"/>
          <w:highlight w:val="none"/>
          <w:lang w:val="en-US" w:eastAsia="zh-CN"/>
          <w14:textFill>
            <w14:solidFill>
              <w14:schemeClr w14:val="tx1"/>
            </w14:solidFill>
          </w14:textFill>
        </w:rPr>
        <w:t>后期设备维修与升级，</w:t>
      </w:r>
      <w:r>
        <w:rPr>
          <w:rFonts w:hint="eastAsia" w:ascii="宋体" w:hAnsi="宋体"/>
          <w:color w:val="000000" w:themeColor="text1"/>
          <w:sz w:val="24"/>
          <w:highlight w:val="none"/>
          <w14:textFill>
            <w14:solidFill>
              <w14:schemeClr w14:val="tx1"/>
            </w14:solidFill>
          </w14:textFill>
        </w:rPr>
        <w:t>乙</w:t>
      </w:r>
      <w:r>
        <w:rPr>
          <w:rFonts w:hint="eastAsia" w:ascii="宋体" w:hAnsi="宋体"/>
          <w:color w:val="000000" w:themeColor="text1"/>
          <w:sz w:val="24"/>
          <w:highlight w:val="none"/>
          <w:lang w:val="en-US" w:eastAsia="zh-CN"/>
          <w14:textFill>
            <w14:solidFill>
              <w14:schemeClr w14:val="tx1"/>
            </w14:solidFill>
          </w14:textFill>
        </w:rPr>
        <w:t>方不得以任何理由向</w:t>
      </w:r>
      <w:r>
        <w:rPr>
          <w:rFonts w:hint="eastAsia" w:ascii="宋体" w:hAnsi="宋体"/>
          <w:color w:val="000000" w:themeColor="text1"/>
          <w:sz w:val="24"/>
          <w:highlight w:val="none"/>
          <w14:textFill>
            <w14:solidFill>
              <w14:schemeClr w14:val="tx1"/>
            </w14:solidFill>
          </w14:textFill>
        </w:rPr>
        <w:t>甲</w:t>
      </w:r>
      <w:r>
        <w:rPr>
          <w:rFonts w:hint="eastAsia" w:ascii="宋体" w:hAnsi="宋体"/>
          <w:color w:val="000000" w:themeColor="text1"/>
          <w:sz w:val="24"/>
          <w:highlight w:val="none"/>
          <w:lang w:val="en-US" w:eastAsia="zh-CN"/>
          <w14:textFill>
            <w14:solidFill>
              <w14:schemeClr w14:val="tx1"/>
            </w14:solidFill>
          </w14:textFill>
        </w:rPr>
        <w:t>方收取程序和系统费用</w:t>
      </w:r>
      <w:r>
        <w:rPr>
          <w:rFonts w:hint="eastAsia" w:ascii="宋体" w:hAnsi="宋体"/>
          <w:color w:val="000000" w:themeColor="text1"/>
          <w:sz w:val="24"/>
          <w:highlight w:val="none"/>
          <w14:textFill>
            <w14:solidFill>
              <w14:schemeClr w14:val="tx1"/>
            </w14:solidFill>
          </w14:textFill>
        </w:rPr>
        <w:t>。</w:t>
      </w:r>
    </w:p>
    <w:p w14:paraId="2FAAA0C5">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10.4</w:t>
      </w:r>
      <w:r>
        <w:rPr>
          <w:rFonts w:hint="eastAsia" w:ascii="宋体" w:hAnsi="宋体"/>
          <w:color w:val="000000" w:themeColor="text1"/>
          <w:sz w:val="24"/>
          <w:highlight w:val="none"/>
          <w:lang w:val="en-US" w:eastAsia="zh-CN"/>
          <w14:textFill>
            <w14:solidFill>
              <w14:schemeClr w14:val="tx1"/>
            </w14:solidFill>
          </w14:textFill>
        </w:rPr>
        <w:t>乙方保证在任何时候都不得以任何理由及方式对本合同设备进行远程锁机，</w:t>
      </w:r>
      <w:r>
        <w:rPr>
          <w:rFonts w:hint="eastAsia" w:ascii="宋体" w:hAnsi="宋体"/>
          <w:color w:val="000000" w:themeColor="text1"/>
          <w:sz w:val="24"/>
          <w:highlight w:val="none"/>
          <w14:textFill>
            <w14:solidFill>
              <w14:schemeClr w14:val="tx1"/>
            </w14:solidFill>
          </w14:textFill>
        </w:rPr>
        <w:t>乙</w:t>
      </w:r>
      <w:r>
        <w:rPr>
          <w:rFonts w:hint="eastAsia" w:ascii="宋体" w:hAnsi="宋体"/>
          <w:color w:val="000000" w:themeColor="text1"/>
          <w:sz w:val="24"/>
          <w:highlight w:val="none"/>
          <w:lang w:val="en-US" w:eastAsia="zh-CN"/>
          <w14:textFill>
            <w14:solidFill>
              <w14:schemeClr w14:val="tx1"/>
            </w14:solidFill>
          </w14:textFill>
        </w:rPr>
        <w:t>方对已交付的设备进行远程锁机或修改已交付设备的驱动程序、密码等致使甲方不能正常运行该设备或工厂停止生产的，视为乙方根本违约，</w:t>
      </w:r>
      <w:r>
        <w:rPr>
          <w:rFonts w:hint="eastAsia" w:ascii="宋体" w:hAnsi="宋体"/>
          <w:color w:val="000000" w:themeColor="text1"/>
          <w:sz w:val="24"/>
          <w:highlight w:val="none"/>
          <w14:textFill>
            <w14:solidFill>
              <w14:schemeClr w14:val="tx1"/>
            </w14:solidFill>
          </w14:textFill>
        </w:rPr>
        <w:t>乙方应按设备款</w:t>
      </w:r>
      <w:r>
        <w:rPr>
          <w:rFonts w:hint="eastAsia" w:ascii="宋体" w:hAnsi="宋体"/>
          <w:color w:val="000000" w:themeColor="text1"/>
          <w:sz w:val="24"/>
          <w:highlight w:val="none"/>
          <w:lang w:val="en-US" w:eastAsia="zh-CN"/>
          <w14:textFill>
            <w14:solidFill>
              <w14:schemeClr w14:val="tx1"/>
            </w14:solidFill>
          </w14:textFill>
        </w:rPr>
        <w:t>千</w:t>
      </w:r>
      <w:r>
        <w:rPr>
          <w:rFonts w:hint="eastAsia" w:ascii="宋体" w:hAnsi="宋体"/>
          <w:color w:val="000000" w:themeColor="text1"/>
          <w:sz w:val="24"/>
          <w:highlight w:val="none"/>
          <w14:textFill>
            <w14:solidFill>
              <w14:schemeClr w14:val="tx1"/>
            </w14:solidFill>
          </w14:textFill>
        </w:rPr>
        <w:t>分之一每日承担违约金</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由此给甲方造成的直接经济损失及间接经济损失均</w:t>
      </w:r>
      <w:r>
        <w:rPr>
          <w:rFonts w:hint="default" w:ascii="宋体" w:hAnsi="宋体"/>
          <w:color w:val="000000" w:themeColor="text1"/>
          <w:sz w:val="24"/>
          <w:highlight w:val="none"/>
          <w:lang w:val="en-US" w:eastAsia="zh-CN"/>
          <w14:textFill>
            <w14:solidFill>
              <w14:schemeClr w14:val="tx1"/>
            </w14:solidFill>
          </w14:textFill>
        </w:rPr>
        <w:t>由乙方承担，</w:t>
      </w:r>
      <w:r>
        <w:rPr>
          <w:rFonts w:hint="eastAsia" w:ascii="宋体" w:hAnsi="宋体"/>
          <w:color w:val="000000" w:themeColor="text1"/>
          <w:sz w:val="24"/>
          <w:highlight w:val="none"/>
          <w:lang w:val="en-US" w:eastAsia="zh-CN"/>
          <w14:textFill>
            <w14:solidFill>
              <w14:schemeClr w14:val="tx1"/>
            </w14:solidFill>
          </w14:textFill>
        </w:rPr>
        <w:t>同时，</w:t>
      </w:r>
      <w:r>
        <w:rPr>
          <w:rFonts w:hint="eastAsia" w:ascii="宋体" w:hAnsi="宋体"/>
          <w:color w:val="000000" w:themeColor="text1"/>
          <w:sz w:val="24"/>
          <w:highlight w:val="none"/>
          <w14:textFill>
            <w14:solidFill>
              <w14:schemeClr w14:val="tx1"/>
            </w14:solidFill>
          </w14:textFill>
        </w:rPr>
        <w:t>甲方有权解除合同、退货，乙方必须退回已收取的全部货款，并支付合同总金额20%的违约金</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退换货设备所产生的的运费由乙方承担</w:t>
      </w:r>
      <w:r>
        <w:rPr>
          <w:rFonts w:hint="eastAsia" w:ascii="宋体" w:hAnsi="宋体"/>
          <w:color w:val="000000" w:themeColor="text1"/>
          <w:sz w:val="24"/>
          <w:highlight w:val="none"/>
          <w14:textFill>
            <w14:solidFill>
              <w14:schemeClr w14:val="tx1"/>
            </w14:solidFill>
          </w14:textFill>
        </w:rPr>
        <w:t>。乙方</w:t>
      </w:r>
      <w:r>
        <w:rPr>
          <w:rFonts w:hint="eastAsia" w:ascii="宋体" w:hAnsi="宋体"/>
          <w:color w:val="000000" w:themeColor="text1"/>
          <w:sz w:val="24"/>
          <w:highlight w:val="none"/>
          <w:lang w:val="en-US" w:eastAsia="zh-CN"/>
          <w14:textFill>
            <w14:solidFill>
              <w14:schemeClr w14:val="tx1"/>
            </w14:solidFill>
          </w14:textFill>
        </w:rPr>
        <w:t>还</w:t>
      </w:r>
      <w:r>
        <w:rPr>
          <w:rFonts w:hint="eastAsia" w:ascii="宋体" w:hAnsi="宋体"/>
          <w:color w:val="000000" w:themeColor="text1"/>
          <w:sz w:val="24"/>
          <w:highlight w:val="none"/>
          <w14:textFill>
            <w14:solidFill>
              <w14:schemeClr w14:val="tx1"/>
            </w14:solidFill>
          </w14:textFill>
        </w:rPr>
        <w:t>应负责甲方因此产生的所有损失</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包括但不限于直接损失、间接损失、律师费、差旅费及其他一切合理支出</w:t>
      </w:r>
      <w:r>
        <w:rPr>
          <w:rFonts w:hint="eastAsia" w:ascii="宋体" w:hAnsi="宋体"/>
          <w:color w:val="000000" w:themeColor="text1"/>
          <w:sz w:val="24"/>
          <w:highlight w:val="none"/>
          <w14:textFill>
            <w14:solidFill>
              <w14:schemeClr w14:val="tx1"/>
            </w14:solidFill>
          </w14:textFill>
        </w:rPr>
        <w:t>。</w:t>
      </w:r>
    </w:p>
    <w:p w14:paraId="167E1E5D">
      <w:p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10.5乙方单方面解除合同或因乙方违约导致甲方解除合同的，应向甲方支付合同总金额的20%违约金，该等违约金不足以弥补甲方损失的，还应当承担因此给甲方造成的全部损失。</w:t>
      </w:r>
    </w:p>
    <w:p w14:paraId="1F6A0F4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第十一条  合同的变更、修改</w:t>
      </w:r>
      <w:bookmarkEnd w:id="4"/>
      <w:bookmarkEnd w:id="5"/>
      <w:bookmarkEnd w:id="6"/>
    </w:p>
    <w:p w14:paraId="1191577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11.1</w:t>
      </w:r>
      <w:r>
        <w:rPr>
          <w:rFonts w:hint="eastAsia" w:ascii="宋体" w:hAnsi="宋体"/>
          <w:color w:val="000000" w:themeColor="text1"/>
          <w:sz w:val="24"/>
          <w:highlight w:val="none"/>
          <w14:textFill>
            <w14:solidFill>
              <w14:schemeClr w14:val="tx1"/>
            </w14:solidFill>
          </w14:textFill>
        </w:rPr>
        <w:t>本合同一经生效，合同双方均不得擅自对本合同的内容（包括附件）作任何单方的修改。但是任何一方均可以对合同内容以书面形式提出变更、修改、取消或补充的建议，该项建议应以书面形式通知对方。双方一致同意变更合同内容，须经双方法定代表人或委托代理人（须经法定代表人书面授权委托）签字并盖章后生效。</w:t>
      </w:r>
    </w:p>
    <w:p w14:paraId="211B574C">
      <w:p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11.2合同履行过程中，本合同所涉标的物的市场价格低于合同采购价时，</w:t>
      </w:r>
      <w:r>
        <w:rPr>
          <w:rFonts w:hint="eastAsia" w:ascii="宋体" w:hAnsi="宋体" w:eastAsia="宋体" w:cs="Times New Roman"/>
          <w:b w:val="0"/>
          <w:bCs w:val="0"/>
          <w:i w:val="0"/>
          <w:iCs w:val="0"/>
          <w:caps w:val="0"/>
          <w:color w:val="000000" w:themeColor="text1"/>
          <w:spacing w:val="0"/>
          <w:sz w:val="24"/>
          <w:szCs w:val="24"/>
          <w:highlight w:val="none"/>
          <w:shd w:val="clear" w:fill="auto"/>
          <w14:textFill>
            <w14:solidFill>
              <w14:schemeClr w14:val="tx1"/>
            </w14:solidFill>
          </w14:textFill>
        </w:rPr>
        <w:t>双方均同意</w:t>
      </w:r>
      <w:r>
        <w:rPr>
          <w:rFonts w:hint="eastAsia" w:ascii="宋体" w:hAnsi="宋体"/>
          <w:color w:val="000000" w:themeColor="text1"/>
          <w:sz w:val="24"/>
          <w:highlight w:val="none"/>
          <w:lang w:val="en-US" w:eastAsia="zh-CN"/>
          <w14:textFill>
            <w14:solidFill>
              <w14:schemeClr w14:val="tx1"/>
            </w14:solidFill>
          </w14:textFill>
        </w:rPr>
        <w:t>按照市场价格执行合同价款。如遇到市场价格上涨，按照合同价格执行，市场价格下降，按照市场新价格执行。</w:t>
      </w:r>
    </w:p>
    <w:p w14:paraId="3811DB2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第十二条  合同争议的解决方式：</w:t>
      </w:r>
    </w:p>
    <w:p w14:paraId="1B6BABE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w:t>
      </w:r>
      <w:r>
        <w:rPr>
          <w:rFonts w:hint="eastAsia" w:ascii="宋体" w:hAnsi="宋体" w:cs="宋体"/>
          <w:color w:val="000000" w:themeColor="text1"/>
          <w:sz w:val="24"/>
          <w:highlight w:val="none"/>
          <w14:textFill>
            <w14:solidFill>
              <w14:schemeClr w14:val="tx1"/>
            </w14:solidFill>
          </w14:textFill>
        </w:rPr>
        <w:t>本合同的成立、效力、解释、履行、终止以及争议的解决均适用中华人民共和国相关法律法规</w:t>
      </w:r>
      <w:r>
        <w:rPr>
          <w:rFonts w:hint="eastAsia" w:ascii="宋体" w:hAnsi="宋体"/>
          <w:color w:val="000000" w:themeColor="text1"/>
          <w:sz w:val="24"/>
          <w:highlight w:val="none"/>
          <w14:textFill>
            <w14:solidFill>
              <w14:schemeClr w14:val="tx1"/>
            </w14:solidFill>
          </w14:textFill>
        </w:rPr>
        <w:t>。</w:t>
      </w:r>
    </w:p>
    <w:p w14:paraId="2E4E75C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12.2</w:t>
      </w:r>
      <w:r>
        <w:rPr>
          <w:rFonts w:hint="eastAsia" w:ascii="宋体" w:hAnsi="宋体" w:cs="宋体"/>
          <w:color w:val="000000" w:themeColor="text1"/>
          <w:sz w:val="24"/>
          <w:highlight w:val="none"/>
          <w14:textFill>
            <w14:solidFill>
              <w14:schemeClr w14:val="tx1"/>
            </w14:solidFill>
          </w14:textFill>
        </w:rPr>
        <w:t>如果甲乙双方因合同的解释或履行发生争议时，首先应由双方通过友好协商解决。如协商不能解决时，合同的任何一方可将争议提交甲方所在地人民法院管辖。</w:t>
      </w:r>
    </w:p>
    <w:p w14:paraId="3D90326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12.3除争议事项外，甲乙双方应继续履行各自合同中规定的义务和行使权利。</w:t>
      </w:r>
    </w:p>
    <w:p w14:paraId="3CA2F844">
      <w:pPr>
        <w:numPr>
          <w:ilvl w:val="0"/>
          <w:numId w:val="2"/>
        </w:num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附则</w:t>
      </w:r>
    </w:p>
    <w:p w14:paraId="3129D16B">
      <w:pPr>
        <w:numPr>
          <w:ilvl w:val="0"/>
          <w:numId w:val="0"/>
        </w:num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13.1</w:t>
      </w:r>
      <w:r>
        <w:rPr>
          <w:rFonts w:hint="eastAsia" w:ascii="宋体" w:hAnsi="宋体"/>
          <w:color w:val="000000" w:themeColor="text1"/>
          <w:sz w:val="24"/>
          <w:highlight w:val="none"/>
          <w14:textFill>
            <w14:solidFill>
              <w14:schemeClr w14:val="tx1"/>
            </w14:solidFill>
          </w14:textFill>
        </w:rPr>
        <w:t>保密：</w:t>
      </w:r>
      <w:r>
        <w:rPr>
          <w:rFonts w:hint="eastAsia" w:ascii="宋体" w:hAnsi="宋体"/>
          <w:color w:val="000000" w:themeColor="text1"/>
          <w:kern w:val="2"/>
          <w:sz w:val="24"/>
          <w:szCs w:val="24"/>
          <w:highlight w:val="none"/>
          <w14:textFill>
            <w14:solidFill>
              <w14:schemeClr w14:val="tx1"/>
            </w14:solidFill>
          </w14:textFill>
        </w:rPr>
        <w:t>对于甲方或其关联公司在本合同下披露给乙方或乙方在履行本合同过程中获得的甲方或其关联公司的相关技术、管理、财务</w:t>
      </w:r>
      <w:r>
        <w:rPr>
          <w:rFonts w:hint="eastAsia" w:ascii="宋体" w:hAnsi="宋体"/>
          <w:color w:val="000000" w:themeColor="text1"/>
          <w:kern w:val="2"/>
          <w:sz w:val="24"/>
          <w:szCs w:val="24"/>
          <w:highlight w:val="none"/>
          <w:lang w:eastAsia="zh-CN"/>
          <w14:textFill>
            <w14:solidFill>
              <w14:schemeClr w14:val="tx1"/>
            </w14:solidFill>
          </w14:textFill>
        </w:rPr>
        <w:t>、</w:t>
      </w:r>
      <w:r>
        <w:rPr>
          <w:rFonts w:hint="eastAsia" w:ascii="宋体" w:hAnsi="宋体"/>
          <w:color w:val="000000" w:themeColor="text1"/>
          <w:kern w:val="2"/>
          <w:sz w:val="24"/>
          <w:szCs w:val="24"/>
          <w:highlight w:val="none"/>
          <w:lang w:val="en-US" w:eastAsia="zh-CN"/>
          <w14:textFill>
            <w14:solidFill>
              <w14:schemeClr w14:val="tx1"/>
            </w14:solidFill>
          </w14:textFill>
        </w:rPr>
        <w:t>商业秘密</w:t>
      </w:r>
      <w:r>
        <w:rPr>
          <w:rFonts w:hint="eastAsia" w:ascii="宋体" w:hAnsi="宋体"/>
          <w:color w:val="000000" w:themeColor="text1"/>
          <w:kern w:val="2"/>
          <w:sz w:val="24"/>
          <w:szCs w:val="24"/>
          <w:highlight w:val="none"/>
          <w14:textFill>
            <w14:solidFill>
              <w14:schemeClr w14:val="tx1"/>
            </w14:solidFill>
          </w14:textFill>
        </w:rPr>
        <w:t>和经营信息（包括但不限于甲方、甲方关联公司、甲方合作伙伴的相关项目名称、产品开发计划、数据、图纸</w:t>
      </w:r>
      <w:r>
        <w:rPr>
          <w:rFonts w:hint="eastAsia" w:ascii="宋体" w:hAnsi="宋体"/>
          <w:color w:val="000000" w:themeColor="text1"/>
          <w:kern w:val="2"/>
          <w:sz w:val="24"/>
          <w:szCs w:val="24"/>
          <w:highlight w:val="none"/>
          <w:lang w:val="en-US" w:eastAsia="zh-CN"/>
          <w14:textFill>
            <w14:solidFill>
              <w14:schemeClr w14:val="tx1"/>
            </w14:solidFill>
          </w14:textFill>
        </w:rPr>
        <w:t>及双方为签订、履行本合同所提供的内容、文件等</w:t>
      </w:r>
      <w:r>
        <w:rPr>
          <w:rFonts w:hint="eastAsia" w:ascii="宋体" w:hAnsi="宋体"/>
          <w:color w:val="000000" w:themeColor="text1"/>
          <w:kern w:val="2"/>
          <w:sz w:val="24"/>
          <w:szCs w:val="24"/>
          <w:highlight w:val="none"/>
          <w14:textFill>
            <w14:solidFill>
              <w14:schemeClr w14:val="tx1"/>
            </w14:solidFill>
          </w14:textFill>
        </w:rPr>
        <w:t>（以下简称“保密信息”），乙方</w:t>
      </w:r>
      <w:r>
        <w:rPr>
          <w:rFonts w:hint="eastAsia" w:ascii="宋体" w:hAnsi="宋体"/>
          <w:color w:val="000000" w:themeColor="text1"/>
          <w:kern w:val="2"/>
          <w:sz w:val="24"/>
          <w:szCs w:val="24"/>
          <w:highlight w:val="none"/>
          <w:lang w:val="en-US" w:eastAsia="zh-CN"/>
          <w14:textFill>
            <w14:solidFill>
              <w14:schemeClr w14:val="tx1"/>
            </w14:solidFill>
          </w14:textFill>
        </w:rPr>
        <w:t>均</w:t>
      </w:r>
      <w:r>
        <w:rPr>
          <w:rFonts w:hint="eastAsia" w:ascii="宋体" w:hAnsi="宋体"/>
          <w:color w:val="000000" w:themeColor="text1"/>
          <w:kern w:val="2"/>
          <w:sz w:val="24"/>
          <w:szCs w:val="24"/>
          <w:highlight w:val="none"/>
          <w14:textFill>
            <w14:solidFill>
              <w14:schemeClr w14:val="tx1"/>
            </w14:solidFill>
          </w14:textFill>
        </w:rPr>
        <w:t>负有保密义务。本合同不论因何种原因终止或者届满后，乙方依照本合同承担的保密义务持续有效。</w:t>
      </w:r>
    </w:p>
    <w:p w14:paraId="7BE3C483">
      <w:pPr>
        <w:spacing w:line="288" w:lineRule="auto"/>
        <w:ind w:firstLine="480" w:firstLineChars="200"/>
        <w:rPr>
          <w:rFonts w:hint="eastAsia" w:ascii="宋体" w:hAnsi="宋体" w:eastAsia="宋体" w:cs="宋体"/>
          <w:color w:val="000000"/>
          <w:kern w:val="0"/>
          <w:sz w:val="24"/>
          <w:szCs w:val="24"/>
          <w:highlight w:val="none"/>
          <w:lang w:val="en-US" w:eastAsia="zh-CN" w:bidi="ar-SA"/>
        </w:rPr>
      </w:pPr>
      <w:r>
        <w:rPr>
          <w:rFonts w:hint="eastAsia" w:ascii="宋体" w:hAnsi="宋体"/>
          <w:color w:val="000000" w:themeColor="text1"/>
          <w:sz w:val="24"/>
          <w:highlight w:val="none"/>
          <w:lang w:val="en-US" w:eastAsia="zh-CN"/>
          <w14:textFill>
            <w14:solidFill>
              <w14:schemeClr w14:val="tx1"/>
            </w14:solidFill>
          </w14:textFill>
        </w:rPr>
        <w:t>13.2</w:t>
      </w:r>
      <w:r>
        <w:rPr>
          <w:rFonts w:hint="eastAsia" w:ascii="宋体" w:hAnsi="宋体" w:cs="宋体"/>
          <w:color w:val="000000"/>
          <w:kern w:val="0"/>
          <w:sz w:val="24"/>
          <w:szCs w:val="24"/>
          <w:highlight w:val="none"/>
          <w:lang w:val="en-US" w:eastAsia="zh-CN" w:bidi="ar-SA"/>
        </w:rPr>
        <w:t>本协议壹式肆份，甲方三份（经办部门一份、财务部门一份、档案室一份），乙方一份，盖章后生效</w:t>
      </w:r>
      <w:r>
        <w:rPr>
          <w:rFonts w:hint="eastAsia" w:ascii="宋体" w:hAnsi="宋体" w:eastAsia="宋体" w:cs="宋体"/>
          <w:color w:val="000000"/>
          <w:kern w:val="0"/>
          <w:sz w:val="24"/>
          <w:szCs w:val="24"/>
          <w:highlight w:val="none"/>
          <w:lang w:val="en-US" w:eastAsia="zh-CN" w:bidi="ar-SA"/>
        </w:rPr>
        <w:t>。</w:t>
      </w:r>
    </w:p>
    <w:p w14:paraId="47934D9B">
      <w:pPr>
        <w:numPr>
          <w:ilvl w:val="0"/>
          <w:numId w:val="0"/>
        </w:numPr>
        <w:autoSpaceDE w:val="0"/>
        <w:autoSpaceDN w:val="0"/>
        <w:adjustRightInd w:val="0"/>
        <w:snapToGrid/>
        <w:spacing w:line="360" w:lineRule="auto"/>
        <w:ind w:left="599" w:leftChars="228" w:hanging="120" w:hangingChars="50"/>
        <w:jc w:val="left"/>
        <w:rPr>
          <w:rFonts w:hint="eastAsia" w:eastAsia="宋体"/>
          <w:highlight w:val="none"/>
          <w:lang w:eastAsia="zh-CN"/>
        </w:rPr>
      </w:pPr>
      <w:r>
        <w:rPr>
          <w:rFonts w:hint="eastAsia" w:ascii="宋体" w:hAnsi="宋体" w:eastAsia="宋体" w:cs="宋体"/>
          <w:color w:val="000000"/>
          <w:kern w:val="0"/>
          <w:sz w:val="24"/>
          <w:szCs w:val="24"/>
          <w:highlight w:val="none"/>
          <w:lang w:val="en-US" w:eastAsia="zh-CN" w:bidi="ar-SA"/>
        </w:rPr>
        <w:t>13.3</w:t>
      </w:r>
      <w:r>
        <w:rPr>
          <w:rFonts w:hint="eastAsia" w:ascii="宋体" w:hAnsi="宋体"/>
          <w:sz w:val="24"/>
          <w:szCs w:val="24"/>
          <w:highlight w:val="none"/>
        </w:rPr>
        <w:t>本合同的附件及有关补充协议，与本合同具有同等法律效力</w:t>
      </w:r>
      <w:r>
        <w:rPr>
          <w:rFonts w:hint="eastAsia" w:ascii="宋体" w:hAnsi="宋体"/>
          <w:sz w:val="24"/>
          <w:szCs w:val="24"/>
          <w:highlight w:val="none"/>
          <w:lang w:eastAsia="zh-CN"/>
        </w:rPr>
        <w:t>。</w:t>
      </w:r>
    </w:p>
    <w:p w14:paraId="248B5DAB">
      <w:pPr>
        <w:spacing w:line="360" w:lineRule="auto"/>
        <w:ind w:firstLine="480" w:firstLineChars="200"/>
        <w:rPr>
          <w:rFonts w:ascii="宋体" w:hAnsi="宋体"/>
          <w:color w:val="000000" w:themeColor="text1"/>
          <w:sz w:val="24"/>
          <w:highlight w:val="none"/>
          <w14:textFill>
            <w14:solidFill>
              <w14:schemeClr w14:val="tx1"/>
            </w14:solidFill>
          </w14:textFill>
        </w:rPr>
      </w:pPr>
      <w:permStart w:id="9" w:edGrp="everyone"/>
      <w:r>
        <w:rPr>
          <w:rFonts w:hint="eastAsia" w:ascii="宋体" w:hAnsi="宋体"/>
          <w:color w:val="000000" w:themeColor="text1"/>
          <w:sz w:val="24"/>
          <w:highlight w:val="none"/>
          <w14:textFill>
            <w14:solidFill>
              <w14:schemeClr w14:val="tx1"/>
            </w14:solidFill>
          </w14:textFill>
        </w:rPr>
        <w:t>甲方：                                        乙方：</w:t>
      </w:r>
    </w:p>
    <w:p w14:paraId="6C5BF05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代表人</w:t>
      </w:r>
      <w:r>
        <w:rPr>
          <w:rFonts w:hint="eastAsia" w:ascii="宋体" w:hAnsi="宋体"/>
          <w:color w:val="000000" w:themeColor="text1"/>
          <w:sz w:val="24"/>
          <w:highlight w:val="none"/>
          <w14:textFill>
            <w14:solidFill>
              <w14:schemeClr w14:val="tx1"/>
            </w14:solidFill>
          </w14:textFill>
        </w:rPr>
        <w:t>：                                      代表人：</w:t>
      </w:r>
    </w:p>
    <w:p w14:paraId="5315B87E">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                           日期：   年   月   日</w:t>
      </w:r>
    </w:p>
    <w:permEnd w:id="9"/>
    <w:p w14:paraId="7FA5F2ED">
      <w:pPr>
        <w:pStyle w:val="16"/>
        <w:rPr>
          <w:rFonts w:hint="default"/>
          <w:highlight w:val="none"/>
          <w:lang w:val="en-US" w:eastAsia="zh-CN"/>
        </w:rPr>
      </w:pPr>
      <w:bookmarkStart w:id="7" w:name="_Toc7993"/>
      <w:bookmarkStart w:id="8" w:name="_Toc32117"/>
      <w:bookmarkStart w:id="9" w:name="_Toc17598"/>
      <w:bookmarkStart w:id="10" w:name="_Toc1128"/>
      <w:r>
        <w:rPr>
          <w:rFonts w:hint="eastAsia"/>
          <w:highlight w:val="none"/>
        </w:rPr>
        <w:t>附件</w:t>
      </w:r>
      <w:r>
        <w:rPr>
          <w:rFonts w:hint="eastAsia"/>
          <w:highlight w:val="none"/>
          <w:lang w:val="en-US" w:eastAsia="zh-CN"/>
        </w:rPr>
        <w:t>一</w:t>
      </w:r>
      <w:r>
        <w:rPr>
          <w:rFonts w:hint="eastAsia"/>
          <w:highlight w:val="none"/>
        </w:rPr>
        <w:t xml:space="preserve"> </w:t>
      </w:r>
      <w:r>
        <w:rPr>
          <w:rFonts w:hint="eastAsia"/>
          <w:highlight w:val="none"/>
          <w:lang w:eastAsia="zh-CN"/>
        </w:rPr>
        <w:t>《</w:t>
      </w:r>
      <w:r>
        <w:rPr>
          <w:rFonts w:hint="eastAsia"/>
          <w:highlight w:val="none"/>
          <w:lang w:val="en-US" w:eastAsia="zh-CN"/>
        </w:rPr>
        <w:t>诚信廉洁协议》</w:t>
      </w:r>
      <w:bookmarkEnd w:id="7"/>
      <w:bookmarkEnd w:id="8"/>
      <w:bookmarkEnd w:id="9"/>
      <w:bookmarkEnd w:id="10"/>
    </w:p>
    <w:p w14:paraId="4B27ADD3">
      <w:pPr>
        <w:autoSpaceDE w:val="0"/>
        <w:autoSpaceDN w:val="0"/>
        <w:adjustRightInd w:val="0"/>
        <w:spacing w:line="360" w:lineRule="auto"/>
        <w:jc w:val="center"/>
        <w:outlineLvl w:val="9"/>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诚信廉洁协议</w:t>
      </w:r>
    </w:p>
    <w:p w14:paraId="66F6F317">
      <w:pPr>
        <w:widowControl/>
        <w:spacing w:line="360" w:lineRule="auto"/>
        <w:jc w:val="left"/>
        <w:outlineLvl w:val="9"/>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 xml:space="preserve">甲方： </w:t>
      </w:r>
      <w:permStart w:id="10" w:edGrp="everyone"/>
      <w:r>
        <w:rPr>
          <w:rFonts w:hint="eastAsia" w:ascii="宋体" w:hAnsi="宋体" w:cs="宋体"/>
          <w:b/>
          <w:color w:val="000000" w:themeColor="text1"/>
          <w:kern w:val="0"/>
          <w:sz w:val="21"/>
          <w:szCs w:val="21"/>
          <w:highlight w:val="none"/>
          <w14:textFill>
            <w14:solidFill>
              <w14:schemeClr w14:val="tx1"/>
            </w14:solidFill>
          </w14:textFill>
        </w:rPr>
        <w:t>广东天元实业集团股份有限公司</w:t>
      </w:r>
      <w:permEnd w:id="10"/>
    </w:p>
    <w:p w14:paraId="4384F75D">
      <w:pPr>
        <w:widowControl/>
        <w:spacing w:line="360" w:lineRule="auto"/>
        <w:jc w:val="left"/>
        <w:outlineLvl w:val="9"/>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乙方：</w:t>
      </w:r>
      <w:permStart w:id="11" w:edGrp="everyone"/>
    </w:p>
    <w:permEnd w:id="11"/>
    <w:p w14:paraId="30B315EC">
      <w:pPr>
        <w:widowControl/>
        <w:spacing w:line="288" w:lineRule="auto"/>
        <w:ind w:firstLine="420" w:firstLineChars="200"/>
        <w:jc w:val="left"/>
        <w:outlineLvl w:val="9"/>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14:textFill>
            <w14:solidFill>
              <w14:schemeClr w14:val="tx1"/>
            </w14:solidFill>
          </w14:textFill>
        </w:rPr>
        <w:t>为预防商业贿赂和不正当竞争，</w:t>
      </w:r>
      <w:r>
        <w:rPr>
          <w:rFonts w:hint="eastAsia" w:ascii="宋体" w:hAnsi="宋体" w:cs="宋体"/>
          <w:color w:val="000000" w:themeColor="text1"/>
          <w:kern w:val="0"/>
          <w:sz w:val="21"/>
          <w:szCs w:val="21"/>
          <w:highlight w:val="none"/>
          <w14:textFill>
            <w14:solidFill>
              <w14:schemeClr w14:val="tx1"/>
            </w14:solidFill>
          </w14:textFill>
        </w:rPr>
        <w:t>保障双方在采购业务往来中的合法权益，同时充分体现公平、公正、廉洁、诚信合作的精神，反对商业欺诈，在信任、诚实、坦率与正直的基础上构筑相互间的合作关系，根据《中华人民共和国反不正当竞争法》(以下简称《反不正当竞争法》)及《关于禁止商业贿赂行为的暂行规定》的有关法规，双方特订立本协议如下：</w:t>
      </w:r>
    </w:p>
    <w:p w14:paraId="1563A715">
      <w:pPr>
        <w:spacing w:line="288" w:lineRule="auto"/>
        <w:ind w:firstLine="411" w:firstLineChars="196"/>
        <w:outlineLvl w:val="0"/>
        <w:rPr>
          <w:rFonts w:ascii="宋体" w:hAnsi="宋体" w:cs="宋体"/>
          <w:bCs/>
          <w:color w:val="000000" w:themeColor="text1"/>
          <w:sz w:val="21"/>
          <w:szCs w:val="21"/>
          <w:highlight w:val="none"/>
          <w14:textFill>
            <w14:solidFill>
              <w14:schemeClr w14:val="tx1"/>
            </w14:solidFill>
          </w14:textFill>
        </w:rPr>
      </w:pPr>
      <w:bookmarkStart w:id="11" w:name="_Toc30957"/>
      <w:r>
        <w:rPr>
          <w:rFonts w:hint="eastAsia" w:ascii="宋体" w:hAnsi="宋体" w:cs="宋体"/>
          <w:bCs/>
          <w:color w:val="000000" w:themeColor="text1"/>
          <w:kern w:val="0"/>
          <w:sz w:val="21"/>
          <w:szCs w:val="21"/>
          <w:highlight w:val="none"/>
          <w14:textFill>
            <w14:solidFill>
              <w14:schemeClr w14:val="tx1"/>
            </w14:solidFill>
          </w14:textFill>
        </w:rPr>
        <w:t>一、本协议的</w:t>
      </w:r>
      <w:r>
        <w:rPr>
          <w:rFonts w:hint="eastAsia" w:ascii="宋体" w:hAnsi="宋体" w:cs="宋体"/>
          <w:bCs/>
          <w:color w:val="000000" w:themeColor="text1"/>
          <w:sz w:val="21"/>
          <w:szCs w:val="21"/>
          <w:highlight w:val="none"/>
          <w14:textFill>
            <w14:solidFill>
              <w14:schemeClr w14:val="tx1"/>
            </w14:solidFill>
          </w14:textFill>
        </w:rPr>
        <w:t>商业贿赂是指：</w:t>
      </w:r>
      <w:bookmarkEnd w:id="11"/>
    </w:p>
    <w:p w14:paraId="2C90E235">
      <w:pPr>
        <w:spacing w:line="288" w:lineRule="auto"/>
        <w:outlineLvl w:val="9"/>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1.以回扣、佣金、</w:t>
      </w:r>
      <w:r>
        <w:rPr>
          <w:rFonts w:hint="eastAsia" w:ascii="宋体" w:hAnsi="宋体" w:cs="宋体"/>
          <w:color w:val="000000" w:themeColor="text1"/>
          <w:sz w:val="21"/>
          <w:szCs w:val="21"/>
          <w:highlight w:val="none"/>
          <w:lang w:val="en-US" w:eastAsia="zh-CN"/>
          <w14:textFill>
            <w14:solidFill>
              <w14:schemeClr w14:val="tx1"/>
            </w14:solidFill>
          </w14:textFill>
        </w:rPr>
        <w:t>股份、红利、</w:t>
      </w:r>
      <w:r>
        <w:rPr>
          <w:rFonts w:hint="eastAsia" w:ascii="宋体" w:hAnsi="宋体" w:cs="宋体"/>
          <w:color w:val="000000" w:themeColor="text1"/>
          <w:sz w:val="21"/>
          <w:szCs w:val="21"/>
          <w:highlight w:val="none"/>
          <w14:textFill>
            <w14:solidFill>
              <w14:schemeClr w14:val="tx1"/>
            </w14:solidFill>
          </w14:textFill>
        </w:rPr>
        <w:t>提成、手续费、好处费、年节走访、生日贺礼、其他名义给予甲方人员及其亲友财物（金钱和实物）及其他利益，具体形式包括但不限于现金、红包、支票、银行卡、有价证券（比如购物卡、提货单、代币券、打折卡、娱乐场所会员卡等）、实物(包括各种高档生活用品、奢侈消费品、工艺品、收藏品等)，以及房屋、车辆等大宗商品；</w:t>
      </w:r>
    </w:p>
    <w:p w14:paraId="2FCE34F9">
      <w:pPr>
        <w:spacing w:line="288" w:lineRule="auto"/>
        <w:ind w:firstLine="420" w:firstLineChars="200"/>
        <w:outlineLvl w:val="9"/>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2.报销支付甲方人员及其亲友的差旅费、住宿费、餐饮费及旅游费等费用或提供此类接待活动；</w:t>
      </w:r>
    </w:p>
    <w:p w14:paraId="2A6E3965">
      <w:pPr>
        <w:spacing w:line="288" w:lineRule="auto"/>
        <w:ind w:firstLine="420" w:firstLineChars="200"/>
        <w:outlineLvl w:val="9"/>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3.为甲方人员及其亲友提供娱乐消费，包括邀请洗浴、按摩、卡拉OK、带金钱性质的打牌、打麻将，色情活动等；利用甲方员工及其亲友婚丧嫁娶、升学、生日及工作调动、乔迁新居给予不正当财物的；</w:t>
      </w:r>
    </w:p>
    <w:p w14:paraId="391EB098">
      <w:pPr>
        <w:widowControl/>
        <w:spacing w:line="288" w:lineRule="auto"/>
        <w:ind w:firstLine="420" w:firstLineChars="200"/>
        <w:jc w:val="left"/>
        <w:outlineLvl w:val="1"/>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4.借钱、借物、借车、借房等给予甲方人员及其亲友的。</w:t>
      </w:r>
    </w:p>
    <w:p w14:paraId="3752831A">
      <w:pPr>
        <w:widowControl/>
        <w:spacing w:line="288" w:lineRule="auto"/>
        <w:ind w:firstLine="422" w:firstLineChars="200"/>
        <w:jc w:val="left"/>
        <w:outlineLvl w:val="9"/>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二、</w:t>
      </w:r>
      <w:r>
        <w:rPr>
          <w:rFonts w:hint="eastAsia" w:ascii="宋体" w:hAnsi="宋体" w:cs="宋体"/>
          <w:color w:val="000000" w:themeColor="text1"/>
          <w:kern w:val="0"/>
          <w:sz w:val="21"/>
          <w:szCs w:val="21"/>
          <w:highlight w:val="none"/>
          <w14:textFill>
            <w14:solidFill>
              <w14:schemeClr w14:val="tx1"/>
            </w14:solidFill>
          </w14:textFill>
        </w:rPr>
        <w:t>甲、乙双方均有责任教育本单位员工，禁止在双方之间的经济交往活动中进行任何形式的索贿、行贿、受贿行为，亦有权和有义务拒绝对方人员的任何形式的索贿、行贿行为。乙方不论是单位或个人，均不得以任何借口或形式向甲方人员或</w:t>
      </w:r>
      <w:r>
        <w:rPr>
          <w:rFonts w:hint="eastAsia" w:ascii="宋体" w:hAnsi="宋体" w:cs="宋体"/>
          <w:color w:val="000000" w:themeColor="text1"/>
          <w:sz w:val="21"/>
          <w:szCs w:val="21"/>
          <w:highlight w:val="none"/>
          <w14:textFill>
            <w14:solidFill>
              <w14:schemeClr w14:val="tx1"/>
            </w14:solidFill>
          </w14:textFill>
        </w:rPr>
        <w:t>其亲友</w:t>
      </w:r>
      <w:r>
        <w:rPr>
          <w:rFonts w:hint="eastAsia" w:ascii="宋体" w:hAnsi="宋体" w:cs="宋体"/>
          <w:color w:val="000000" w:themeColor="text1"/>
          <w:kern w:val="0"/>
          <w:sz w:val="21"/>
          <w:szCs w:val="21"/>
          <w:highlight w:val="none"/>
          <w14:textFill>
            <w14:solidFill>
              <w14:schemeClr w14:val="tx1"/>
            </w14:solidFill>
          </w14:textFill>
        </w:rPr>
        <w:t>行贿。</w:t>
      </w:r>
    </w:p>
    <w:p w14:paraId="6C16C07D">
      <w:pPr>
        <w:widowControl/>
        <w:spacing w:line="288" w:lineRule="auto"/>
        <w:ind w:firstLine="420" w:firstLineChars="200"/>
        <w:jc w:val="left"/>
        <w:outlineLvl w:val="9"/>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三、</w:t>
      </w:r>
      <w:r>
        <w:rPr>
          <w:rFonts w:hint="eastAsia" w:ascii="宋体" w:hAnsi="宋体" w:cs="宋体"/>
          <w:color w:val="000000" w:themeColor="text1"/>
          <w:sz w:val="21"/>
          <w:szCs w:val="21"/>
          <w:highlight w:val="none"/>
          <w14:textFill>
            <w14:solidFill>
              <w14:schemeClr w14:val="tx1"/>
            </w14:solidFill>
          </w14:textFill>
        </w:rPr>
        <w:t>未经甲方</w:t>
      </w:r>
      <w:r>
        <w:rPr>
          <w:rFonts w:hint="eastAsia" w:ascii="宋体" w:hAnsi="宋体" w:cs="宋体"/>
          <w:color w:val="000000" w:themeColor="text1"/>
          <w:sz w:val="21"/>
          <w:szCs w:val="21"/>
          <w:highlight w:val="none"/>
          <w:lang w:val="en-US" w:eastAsia="zh-CN"/>
          <w14:textFill>
            <w14:solidFill>
              <w14:schemeClr w14:val="tx1"/>
            </w14:solidFill>
          </w14:textFill>
        </w:rPr>
        <w:t>董事长或总裁</w:t>
      </w:r>
      <w:r>
        <w:rPr>
          <w:rFonts w:hint="eastAsia" w:ascii="宋体" w:hAnsi="宋体" w:cs="宋体"/>
          <w:color w:val="000000" w:themeColor="text1"/>
          <w:sz w:val="21"/>
          <w:szCs w:val="21"/>
          <w:highlight w:val="none"/>
          <w14:textFill>
            <w14:solidFill>
              <w14:schemeClr w14:val="tx1"/>
            </w14:solidFill>
          </w14:textFill>
        </w:rPr>
        <w:t>批准，</w:t>
      </w:r>
      <w:r>
        <w:rPr>
          <w:rFonts w:hint="eastAsia" w:ascii="宋体" w:hAnsi="宋体" w:cs="宋体"/>
          <w:color w:val="000000" w:themeColor="text1"/>
          <w:kern w:val="0"/>
          <w:sz w:val="21"/>
          <w:szCs w:val="21"/>
          <w:highlight w:val="none"/>
          <w14:textFill>
            <w14:solidFill>
              <w14:schemeClr w14:val="tx1"/>
            </w14:solidFill>
          </w14:textFill>
        </w:rPr>
        <w:t>乙方不得宴请甲方工作人员及</w:t>
      </w:r>
      <w:r>
        <w:rPr>
          <w:rFonts w:hint="eastAsia" w:ascii="宋体" w:hAnsi="宋体" w:cs="宋体"/>
          <w:color w:val="000000" w:themeColor="text1"/>
          <w:sz w:val="21"/>
          <w:szCs w:val="21"/>
          <w:highlight w:val="none"/>
          <w14:textFill>
            <w14:solidFill>
              <w14:schemeClr w14:val="tx1"/>
            </w14:solidFill>
          </w14:textFill>
        </w:rPr>
        <w:t>其亲友</w:t>
      </w:r>
      <w:r>
        <w:rPr>
          <w:rFonts w:hint="eastAsia" w:ascii="宋体" w:hAnsi="宋体" w:cs="宋体"/>
          <w:color w:val="000000" w:themeColor="text1"/>
          <w:kern w:val="0"/>
          <w:sz w:val="21"/>
          <w:szCs w:val="21"/>
          <w:highlight w:val="none"/>
          <w14:textFill>
            <w14:solidFill>
              <w14:schemeClr w14:val="tx1"/>
            </w14:solidFill>
          </w14:textFill>
        </w:rPr>
        <w:t>以任何形式的消费行为付费。</w:t>
      </w:r>
    </w:p>
    <w:p w14:paraId="4BC459C3">
      <w:pPr>
        <w:widowControl/>
        <w:spacing w:line="288" w:lineRule="auto"/>
        <w:ind w:firstLine="420" w:firstLineChars="200"/>
        <w:jc w:val="left"/>
        <w:outlineLvl w:val="9"/>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四、甲方所属员工个人及其家属，不得以其个人直接或间接工作范围上的便利，向乙方要求非公务指定的借贷、租赁、投资及对其个人或亲友进行酬劳式的工作安排。</w:t>
      </w:r>
    </w:p>
    <w:p w14:paraId="13BA054C">
      <w:pPr>
        <w:widowControl/>
        <w:spacing w:line="288" w:lineRule="auto"/>
        <w:ind w:firstLine="420" w:firstLineChars="200"/>
        <w:jc w:val="left"/>
        <w:outlineLvl w:val="9"/>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五、甲乙双方在经济交往中，对于任何一方给予对方任何形式的让利（返利）均应以书面形式通知对方，并通过双方财务部门进行收、付结算。</w:t>
      </w:r>
    </w:p>
    <w:p w14:paraId="5F6ED5DC">
      <w:pPr>
        <w:widowControl/>
        <w:spacing w:line="288" w:lineRule="auto"/>
        <w:ind w:firstLine="420" w:firstLineChars="20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六、乙方不得与甲方员工或</w:t>
      </w:r>
      <w:r>
        <w:rPr>
          <w:rFonts w:hint="eastAsia" w:ascii="宋体" w:hAnsi="宋体" w:cs="宋体"/>
          <w:color w:val="000000" w:themeColor="text1"/>
          <w:sz w:val="21"/>
          <w:szCs w:val="21"/>
          <w:highlight w:val="none"/>
          <w14:textFill>
            <w14:solidFill>
              <w14:schemeClr w14:val="tx1"/>
            </w14:solidFill>
          </w14:textFill>
        </w:rPr>
        <w:t>其亲友</w:t>
      </w:r>
      <w:r>
        <w:rPr>
          <w:rFonts w:hint="eastAsia" w:ascii="宋体" w:hAnsi="宋体" w:cs="宋体"/>
          <w:color w:val="000000" w:themeColor="text1"/>
          <w:kern w:val="0"/>
          <w:sz w:val="21"/>
          <w:szCs w:val="21"/>
          <w:highlight w:val="none"/>
          <w14:textFill>
            <w14:solidFill>
              <w14:schemeClr w14:val="tx1"/>
            </w14:solidFill>
          </w14:textFill>
        </w:rPr>
        <w:t>共同成立公司或允许甲方员工或</w:t>
      </w:r>
      <w:r>
        <w:rPr>
          <w:rFonts w:hint="eastAsia" w:ascii="宋体" w:hAnsi="宋体" w:cs="宋体"/>
          <w:color w:val="000000" w:themeColor="text1"/>
          <w:sz w:val="21"/>
          <w:szCs w:val="21"/>
          <w:highlight w:val="none"/>
          <w14:textFill>
            <w14:solidFill>
              <w14:schemeClr w14:val="tx1"/>
            </w14:solidFill>
          </w14:textFill>
        </w:rPr>
        <w:t>其亲友</w:t>
      </w:r>
      <w:r>
        <w:rPr>
          <w:rFonts w:hint="eastAsia" w:ascii="宋体" w:hAnsi="宋体" w:cs="宋体"/>
          <w:color w:val="000000" w:themeColor="text1"/>
          <w:kern w:val="0"/>
          <w:sz w:val="21"/>
          <w:szCs w:val="21"/>
          <w:highlight w:val="none"/>
          <w14:textFill>
            <w14:solidFill>
              <w14:schemeClr w14:val="tx1"/>
            </w14:solidFill>
          </w14:textFill>
        </w:rPr>
        <w:t>参股乙方公司，使甲方员工或</w:t>
      </w:r>
      <w:r>
        <w:rPr>
          <w:rFonts w:hint="eastAsia" w:ascii="宋体" w:hAnsi="宋体" w:cs="宋体"/>
          <w:color w:val="000000" w:themeColor="text1"/>
          <w:sz w:val="21"/>
          <w:szCs w:val="21"/>
          <w:highlight w:val="none"/>
          <w14:textFill>
            <w14:solidFill>
              <w14:schemeClr w14:val="tx1"/>
            </w14:solidFill>
          </w14:textFill>
        </w:rPr>
        <w:t>其亲友</w:t>
      </w:r>
      <w:r>
        <w:rPr>
          <w:rFonts w:hint="eastAsia" w:ascii="宋体" w:hAnsi="宋体" w:cs="宋体"/>
          <w:color w:val="000000" w:themeColor="text1"/>
          <w:kern w:val="0"/>
          <w:sz w:val="21"/>
          <w:szCs w:val="21"/>
          <w:highlight w:val="none"/>
          <w14:textFill>
            <w14:solidFill>
              <w14:schemeClr w14:val="tx1"/>
            </w14:solidFill>
          </w14:textFill>
        </w:rPr>
        <w:t>从乙方处获取不正当利益。</w:t>
      </w:r>
    </w:p>
    <w:p w14:paraId="63DC1C40">
      <w:pPr>
        <w:widowControl/>
        <w:spacing w:line="288" w:lineRule="auto"/>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七、</w:t>
      </w:r>
      <w:r>
        <w:rPr>
          <w:rFonts w:hint="eastAsia" w:ascii="宋体" w:hAnsi="宋体" w:cs="宋体"/>
          <w:color w:val="000000" w:themeColor="text1"/>
          <w:sz w:val="21"/>
          <w:szCs w:val="21"/>
          <w:highlight w:val="none"/>
          <w14:textFill>
            <w14:solidFill>
              <w14:schemeClr w14:val="tx1"/>
            </w14:solidFill>
          </w14:textFill>
        </w:rPr>
        <w:t>乙方保证不向</w:t>
      </w:r>
      <w:r>
        <w:rPr>
          <w:rFonts w:hint="eastAsia" w:ascii="宋体" w:hAnsi="宋体" w:cs="宋体"/>
          <w:color w:val="000000" w:themeColor="text1"/>
          <w:sz w:val="21"/>
          <w:szCs w:val="21"/>
          <w:highlight w:val="none"/>
          <w:lang w:val="en-US" w:eastAsia="zh-CN"/>
          <w14:textFill>
            <w14:solidFill>
              <w14:schemeClr w14:val="tx1"/>
            </w14:solidFill>
          </w14:textFill>
        </w:rPr>
        <w:t>甲</w:t>
      </w:r>
      <w:r>
        <w:rPr>
          <w:rFonts w:hint="eastAsia" w:ascii="宋体" w:hAnsi="宋体" w:cs="宋体"/>
          <w:color w:val="000000" w:themeColor="text1"/>
          <w:sz w:val="21"/>
          <w:szCs w:val="21"/>
          <w:highlight w:val="none"/>
          <w14:textFill>
            <w14:solidFill>
              <w14:schemeClr w14:val="tx1"/>
            </w14:solidFill>
          </w14:textFill>
        </w:rPr>
        <w:t>方</w:t>
      </w:r>
      <w:r>
        <w:rPr>
          <w:rFonts w:hint="eastAsia" w:ascii="宋体" w:hAnsi="宋体" w:cs="宋体"/>
          <w:color w:val="000000" w:themeColor="text1"/>
          <w:sz w:val="21"/>
          <w:szCs w:val="21"/>
          <w:highlight w:val="none"/>
          <w:lang w:val="en-US" w:eastAsia="zh-CN"/>
          <w14:textFill>
            <w14:solidFill>
              <w14:schemeClr w14:val="tx1"/>
            </w14:solidFill>
          </w14:textFill>
        </w:rPr>
        <w:t>人员</w:t>
      </w:r>
      <w:r>
        <w:rPr>
          <w:rFonts w:hint="eastAsia" w:ascii="宋体" w:hAnsi="宋体" w:cs="宋体"/>
          <w:color w:val="000000" w:themeColor="text1"/>
          <w:sz w:val="21"/>
          <w:szCs w:val="21"/>
          <w:highlight w:val="none"/>
          <w14:textFill>
            <w14:solidFill>
              <w14:schemeClr w14:val="tx1"/>
            </w14:solidFill>
          </w14:textFill>
        </w:rPr>
        <w:t>进行任何方式的行贿、索贿，如</w:t>
      </w:r>
      <w:r>
        <w:rPr>
          <w:rFonts w:hint="eastAsia" w:ascii="宋体" w:hAnsi="宋体" w:cs="宋体"/>
          <w:color w:val="000000" w:themeColor="text1"/>
          <w:sz w:val="21"/>
          <w:szCs w:val="21"/>
          <w:highlight w:val="none"/>
          <w:lang w:val="en-US" w:eastAsia="zh-CN"/>
          <w14:textFill>
            <w14:solidFill>
              <w14:schemeClr w14:val="tx1"/>
            </w14:solidFill>
          </w14:textFill>
        </w:rPr>
        <w:t>乙</w:t>
      </w:r>
      <w:r>
        <w:rPr>
          <w:rFonts w:hint="eastAsia" w:ascii="宋体" w:hAnsi="宋体" w:cs="宋体"/>
          <w:color w:val="000000" w:themeColor="text1"/>
          <w:sz w:val="21"/>
          <w:szCs w:val="21"/>
          <w:highlight w:val="none"/>
          <w14:textFill>
            <w14:solidFill>
              <w14:schemeClr w14:val="tx1"/>
            </w14:solidFill>
          </w14:textFill>
        </w:rPr>
        <w:t>方或其员工或由其委托的第三方有向</w:t>
      </w:r>
      <w:r>
        <w:rPr>
          <w:rFonts w:hint="eastAsia" w:ascii="宋体" w:hAnsi="宋体" w:cs="宋体"/>
          <w:color w:val="000000" w:themeColor="text1"/>
          <w:sz w:val="21"/>
          <w:szCs w:val="21"/>
          <w:highlight w:val="none"/>
          <w:lang w:val="en-US" w:eastAsia="zh-CN"/>
          <w14:textFill>
            <w14:solidFill>
              <w14:schemeClr w14:val="tx1"/>
            </w14:solidFill>
          </w14:textFill>
        </w:rPr>
        <w:t>甲</w:t>
      </w:r>
      <w:r>
        <w:rPr>
          <w:rFonts w:hint="eastAsia" w:ascii="宋体" w:hAnsi="宋体" w:cs="宋体"/>
          <w:color w:val="000000" w:themeColor="text1"/>
          <w:sz w:val="21"/>
          <w:szCs w:val="21"/>
          <w:highlight w:val="none"/>
          <w14:textFill>
            <w14:solidFill>
              <w14:schemeClr w14:val="tx1"/>
            </w14:solidFill>
          </w14:textFill>
        </w:rPr>
        <w:t>方</w:t>
      </w:r>
      <w:r>
        <w:rPr>
          <w:rFonts w:hint="eastAsia" w:ascii="宋体" w:hAnsi="宋体" w:cs="宋体"/>
          <w:color w:val="000000" w:themeColor="text1"/>
          <w:sz w:val="21"/>
          <w:szCs w:val="21"/>
          <w:highlight w:val="none"/>
          <w:lang w:val="en-US" w:eastAsia="zh-CN"/>
          <w14:textFill>
            <w14:solidFill>
              <w14:schemeClr w14:val="tx1"/>
            </w14:solidFill>
          </w14:textFill>
        </w:rPr>
        <w:t>人员</w:t>
      </w:r>
      <w:r>
        <w:rPr>
          <w:rFonts w:hint="eastAsia" w:ascii="宋体" w:hAnsi="宋体" w:cs="宋体"/>
          <w:color w:val="000000" w:themeColor="text1"/>
          <w:sz w:val="21"/>
          <w:szCs w:val="21"/>
          <w:highlight w:val="none"/>
          <w14:textFill>
            <w14:solidFill>
              <w14:schemeClr w14:val="tx1"/>
            </w14:solidFill>
          </w14:textFill>
        </w:rPr>
        <w:t>或其</w:t>
      </w:r>
      <w:r>
        <w:rPr>
          <w:rFonts w:hint="eastAsia" w:ascii="宋体" w:hAnsi="宋体" w:cs="宋体"/>
          <w:color w:val="000000" w:themeColor="text1"/>
          <w:sz w:val="21"/>
          <w:szCs w:val="21"/>
          <w:highlight w:val="none"/>
          <w:lang w:val="en-US" w:eastAsia="zh-CN"/>
          <w14:textFill>
            <w14:solidFill>
              <w14:schemeClr w14:val="tx1"/>
            </w14:solidFill>
          </w14:textFill>
        </w:rPr>
        <w:t>亲友</w:t>
      </w:r>
      <w:r>
        <w:rPr>
          <w:rFonts w:hint="eastAsia" w:ascii="宋体" w:hAnsi="宋体" w:cs="宋体"/>
          <w:color w:val="000000" w:themeColor="text1"/>
          <w:sz w:val="21"/>
          <w:szCs w:val="21"/>
          <w:highlight w:val="none"/>
          <w14:textFill>
            <w14:solidFill>
              <w14:schemeClr w14:val="tx1"/>
            </w14:solidFill>
          </w14:textFill>
        </w:rPr>
        <w:t>行贿、索贿的，</w:t>
      </w:r>
      <w:r>
        <w:rPr>
          <w:rFonts w:hint="eastAsia" w:ascii="宋体" w:hAnsi="宋体" w:cs="宋体"/>
          <w:color w:val="000000" w:themeColor="text1"/>
          <w:sz w:val="21"/>
          <w:szCs w:val="21"/>
          <w:highlight w:val="none"/>
          <w:lang w:val="en-US" w:eastAsia="zh-CN"/>
          <w14:textFill>
            <w14:solidFill>
              <w14:schemeClr w14:val="tx1"/>
            </w14:solidFill>
          </w14:textFill>
        </w:rPr>
        <w:t>乙</w:t>
      </w:r>
      <w:r>
        <w:rPr>
          <w:rFonts w:hint="eastAsia" w:ascii="宋体" w:hAnsi="宋体" w:cs="宋体"/>
          <w:color w:val="000000" w:themeColor="text1"/>
          <w:sz w:val="21"/>
          <w:szCs w:val="21"/>
          <w:highlight w:val="none"/>
          <w14:textFill>
            <w14:solidFill>
              <w14:schemeClr w14:val="tx1"/>
            </w14:solidFill>
          </w14:textFill>
        </w:rPr>
        <w:t>方按本协议约定承担违约责任。如行贿、索贿数额较大触犯法律的，甲方可将相关行贿、索贿人员</w:t>
      </w:r>
      <w:r>
        <w:rPr>
          <w:rFonts w:hint="eastAsia" w:ascii="宋体" w:hAnsi="宋体" w:cs="宋体"/>
          <w:color w:val="000000" w:themeColor="text1"/>
          <w:sz w:val="21"/>
          <w:szCs w:val="21"/>
          <w:highlight w:val="none"/>
          <w:lang w:val="en-US" w:eastAsia="zh-CN"/>
          <w14:textFill>
            <w14:solidFill>
              <w14:schemeClr w14:val="tx1"/>
            </w14:solidFill>
          </w14:textFill>
        </w:rPr>
        <w:t>移交司法机关</w:t>
      </w:r>
      <w:r>
        <w:rPr>
          <w:rFonts w:hint="eastAsia" w:ascii="宋体" w:hAnsi="宋体" w:cs="宋体"/>
          <w:color w:val="000000" w:themeColor="text1"/>
          <w:sz w:val="21"/>
          <w:szCs w:val="21"/>
          <w:highlight w:val="none"/>
          <w14:textFill>
            <w14:solidFill>
              <w14:schemeClr w14:val="tx1"/>
            </w14:solidFill>
          </w14:textFill>
        </w:rPr>
        <w:t>进行处理。</w:t>
      </w:r>
    </w:p>
    <w:p w14:paraId="74F17C3F">
      <w:pPr>
        <w:widowControl/>
        <w:spacing w:line="288" w:lineRule="auto"/>
        <w:ind w:firstLine="420" w:firstLineChars="200"/>
        <w:jc w:val="left"/>
        <w:outlineLvl w:val="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bookmarkStart w:id="12" w:name="_Toc15252"/>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八、乙方</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仅限与甲方董事长、采购人员沟通，且沟通</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方式仅限四种：</w:t>
      </w:r>
      <w:bookmarkEnd w:id="12"/>
    </w:p>
    <w:p w14:paraId="2830E8A4">
      <w:pPr>
        <w:widowControl/>
        <w:spacing w:line="288" w:lineRule="auto"/>
        <w:ind w:firstLine="420" w:firstLineChars="200"/>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1.电话沟通</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：仅限拨打公司配备手机号码(1810023xxxx\1812282xxxx)；禁止拨打采购人员私人电话及亲属、朋友电话，禁止</w:t>
      </w:r>
      <w:r>
        <w:rPr>
          <w:rFonts w:hint="eastAsia" w:ascii="宋体" w:hAnsi="宋体" w:cs="宋体"/>
          <w:color w:val="000000" w:themeColor="text1"/>
          <w:kern w:val="0"/>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人员使用亲属、朋友电话拨打</w:t>
      </w:r>
      <w:r>
        <w:rPr>
          <w:rFonts w:hint="eastAsia" w:ascii="宋体" w:hAnsi="宋体" w:cs="宋体"/>
          <w:color w:val="000000" w:themeColor="text1"/>
          <w:kern w:val="0"/>
          <w:sz w:val="21"/>
          <w:szCs w:val="21"/>
          <w:highlight w:val="none"/>
          <w:lang w:val="en-US" w:eastAsia="zh-CN"/>
          <w14:textFill>
            <w14:solidFill>
              <w14:schemeClr w14:val="tx1"/>
            </w14:solidFill>
          </w14:textFill>
        </w:rPr>
        <w:t>甲方工作</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人员电话；</w:t>
      </w:r>
    </w:p>
    <w:p w14:paraId="2D93AC07">
      <w:pPr>
        <w:widowControl/>
        <w:spacing w:line="288" w:lineRule="auto"/>
        <w:ind w:firstLine="420" w:firstLineChars="200"/>
        <w:jc w:val="left"/>
        <w:outlineLvl w:val="1"/>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2.微信沟通：</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使用企业微信；</w:t>
      </w:r>
    </w:p>
    <w:p w14:paraId="1ED2062E">
      <w:pPr>
        <w:widowControl/>
        <w:spacing w:line="288" w:lineRule="auto"/>
        <w:ind w:firstLine="420" w:firstLineChars="200"/>
        <w:jc w:val="left"/>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3.邮件沟通：</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仅限使用企业邮箱，</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instrText xml:space="preserve"> HYPERLINK "mailto:公司邮箱后缀@gdtengen.com" </w:instrTex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天元股份</w:t>
      </w:r>
      <w:r>
        <w:rPr>
          <w:rStyle w:val="11"/>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邮箱后缀@gdtengen.com</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w:t>
      </w:r>
    </w:p>
    <w:p w14:paraId="5439071B">
      <w:pPr>
        <w:widowControl/>
        <w:spacing w:line="288" w:lineRule="auto"/>
        <w:ind w:firstLine="420" w:firstLineChars="200"/>
        <w:jc w:val="left"/>
        <w:outlineLvl w:val="1"/>
        <w:rPr>
          <w:rFonts w:hint="eastAsia" w:ascii="宋体" w:hAnsi="宋体" w:eastAsia="宋体" w:cs="宋体"/>
          <w:b w:val="0"/>
          <w:b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u w:val="none"/>
          <w:lang w:val="en-US" w:eastAsia="zh-CN"/>
          <w14:textFill>
            <w14:solidFill>
              <w14:schemeClr w14:val="tx1"/>
            </w14:solidFill>
          </w14:textFill>
        </w:rPr>
        <w:t>4.会面沟通：</w:t>
      </w:r>
      <w:r>
        <w:rPr>
          <w:rFonts w:hint="eastAsia" w:ascii="宋体" w:hAnsi="宋体" w:cs="宋体"/>
          <w:b w:val="0"/>
          <w:bCs w:val="0"/>
          <w:color w:val="000000" w:themeColor="text1"/>
          <w:kern w:val="0"/>
          <w:sz w:val="21"/>
          <w:szCs w:val="21"/>
          <w:highlight w:val="none"/>
          <w:u w:val="none"/>
          <w:lang w:val="en-US" w:eastAsia="zh-CN"/>
          <w14:textFill>
            <w14:solidFill>
              <w14:schemeClr w14:val="tx1"/>
            </w14:solidFill>
          </w14:textFill>
        </w:rPr>
        <w:t>甲方</w:t>
      </w:r>
      <w:r>
        <w:rPr>
          <w:rFonts w:hint="eastAsia" w:ascii="宋体" w:hAnsi="宋体" w:eastAsia="宋体" w:cs="宋体"/>
          <w:b w:val="0"/>
          <w:bCs w:val="0"/>
          <w:color w:val="000000" w:themeColor="text1"/>
          <w:kern w:val="0"/>
          <w:sz w:val="21"/>
          <w:szCs w:val="21"/>
          <w:highlight w:val="none"/>
          <w:u w:val="none"/>
          <w:lang w:val="en-US" w:eastAsia="zh-CN"/>
          <w14:textFill>
            <w14:solidFill>
              <w14:schemeClr w14:val="tx1"/>
            </w14:solidFill>
          </w14:textFill>
        </w:rPr>
        <w:t>厂区内指定会议室</w:t>
      </w:r>
      <w:r>
        <w:rPr>
          <w:rFonts w:hint="eastAsia" w:ascii="宋体" w:hAnsi="宋体" w:cs="宋体"/>
          <w:b w:val="0"/>
          <w:bCs w:val="0"/>
          <w:color w:val="000000" w:themeColor="text1"/>
          <w:kern w:val="0"/>
          <w:sz w:val="21"/>
          <w:szCs w:val="21"/>
          <w:highlight w:val="none"/>
          <w:u w:val="none"/>
          <w:lang w:val="en-US" w:eastAsia="zh-CN"/>
          <w14:textFill>
            <w14:solidFill>
              <w14:schemeClr w14:val="tx1"/>
            </w14:solidFill>
          </w14:textFill>
        </w:rPr>
        <w:t>或向甲方报备且经甲方同意的其他会面地点</w:t>
      </w:r>
      <w:r>
        <w:rPr>
          <w:rFonts w:hint="eastAsia" w:ascii="宋体" w:hAnsi="宋体" w:eastAsia="宋体" w:cs="宋体"/>
          <w:b w:val="0"/>
          <w:bCs w:val="0"/>
          <w:color w:val="000000" w:themeColor="text1"/>
          <w:kern w:val="0"/>
          <w:sz w:val="21"/>
          <w:szCs w:val="21"/>
          <w:highlight w:val="none"/>
          <w:u w:val="none"/>
          <w:lang w:val="en-US" w:eastAsia="zh-CN"/>
          <w14:textFill>
            <w14:solidFill>
              <w14:schemeClr w14:val="tx1"/>
            </w14:solidFill>
          </w14:textFill>
        </w:rPr>
        <w:t>。</w:t>
      </w:r>
    </w:p>
    <w:p w14:paraId="794CE8D7">
      <w:pPr>
        <w:widowControl/>
        <w:spacing w:line="288" w:lineRule="auto"/>
        <w:ind w:firstLine="420" w:firstLineChars="200"/>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九、乙方人员不得以任何原由、在任何时候私自接触甲方生产部门、质量部门、财务部门及其他部门人员；因业务沟通需与甲方生产部门、质量部门、财务部门及其他部门人员接触的，必须由甲方采购人员组织，</w:t>
      </w:r>
      <w:r>
        <w:rPr>
          <w:rFonts w:hint="eastAsia" w:ascii="宋体" w:hAnsi="宋体" w:cs="宋体"/>
          <w:color w:val="000000" w:themeColor="text1"/>
          <w:kern w:val="0"/>
          <w:sz w:val="21"/>
          <w:szCs w:val="21"/>
          <w:highlight w:val="none"/>
          <w:lang w:val="en-US" w:eastAsia="zh-CN"/>
          <w14:textFill>
            <w14:solidFill>
              <w14:schemeClr w14:val="tx1"/>
            </w14:solidFill>
          </w14:textFill>
        </w:rPr>
        <w:t>报备甲方董事长，经董事长批准后</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在甲方指定会议室进行。</w:t>
      </w:r>
    </w:p>
    <w:p w14:paraId="4B8A0447">
      <w:pPr>
        <w:widowControl/>
        <w:spacing w:line="288" w:lineRule="auto"/>
        <w:ind w:firstLine="420" w:firstLineChars="200"/>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十、乙方人员不得以“领样、试样、现场指导、售后服务”等为由，擅自进入甲方生产现场。如需现场指导沟通，必须由甲方采购员组织，在甲方指定地点进行。否则视为违</w:t>
      </w:r>
      <w:r>
        <w:rPr>
          <w:rFonts w:hint="eastAsia" w:ascii="宋体" w:hAnsi="宋体" w:cs="宋体"/>
          <w:color w:val="000000" w:themeColor="text1"/>
          <w:kern w:val="0"/>
          <w:sz w:val="21"/>
          <w:szCs w:val="21"/>
          <w:highlight w:val="none"/>
          <w:lang w:val="en-US" w:eastAsia="zh-CN"/>
          <w14:textFill>
            <w14:solidFill>
              <w14:schemeClr w14:val="tx1"/>
            </w14:solidFill>
          </w14:textFill>
        </w:rPr>
        <w:t>约，按违约责任处理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14:paraId="61B3756D">
      <w:pPr>
        <w:widowControl/>
        <w:spacing w:line="288" w:lineRule="auto"/>
        <w:ind w:firstLine="420" w:firstLineChars="200"/>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十一、乙方与甲方人员是亲戚、朋友、合作等密切关系的，须及时向甲方备案，乙方应回避与甲方员工见面；如必须见面的，须在备案中说明。见面地点须在我甲方指定会议室进行。</w:t>
      </w:r>
    </w:p>
    <w:p w14:paraId="12742A20">
      <w:pPr>
        <w:spacing w:line="288"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十二</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甲方所属员工或其亲友如向乙方索贿的，乙方应及时</w:t>
      </w:r>
      <w:r>
        <w:rPr>
          <w:rFonts w:hint="eastAsia" w:ascii="宋体" w:hAnsi="宋体" w:cs="宋体"/>
          <w:color w:val="000000" w:themeColor="text1"/>
          <w:sz w:val="21"/>
          <w:szCs w:val="21"/>
          <w:highlight w:val="none"/>
          <w14:textFill>
            <w14:solidFill>
              <w14:schemeClr w14:val="tx1"/>
            </w14:solidFill>
          </w14:textFill>
        </w:rPr>
        <w:t>告知甲方，相关证据可通过以下三种方式送达甲方：</w:t>
      </w:r>
    </w:p>
    <w:p w14:paraId="08A77053">
      <w:pPr>
        <w:spacing w:line="240" w:lineRule="auto"/>
        <w:ind w:firstLine="420" w:firstLineChars="200"/>
        <w:rPr>
          <w:rFonts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1.甲方投诉检举电话：</w:t>
      </w:r>
      <w:r>
        <w:rPr>
          <w:rFonts w:hint="eastAsia" w:ascii="宋体" w:hAnsi="宋体" w:cs="宋体"/>
          <w:color w:val="000000" w:themeColor="text1"/>
          <w:sz w:val="21"/>
          <w:szCs w:val="21"/>
          <w:highlight w:val="none"/>
          <w:u w:val="single"/>
          <w14:textFill>
            <w14:solidFill>
              <w14:schemeClr w14:val="tx1"/>
            </w14:solidFill>
          </w14:textFill>
        </w:rPr>
        <w:t xml:space="preserve"> 13928735001</w:t>
      </w:r>
    </w:p>
    <w:p w14:paraId="169353EC">
      <w:pPr>
        <w:spacing w:line="240" w:lineRule="auto"/>
        <w:ind w:firstLine="480"/>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2.投诉检举电子邮件：</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fldChar w:fldCharType="begin"/>
      </w:r>
      <w:r>
        <w:rPr>
          <w:rFonts w:hint="eastAsia" w:ascii="宋体" w:hAnsi="宋体" w:cs="宋体"/>
          <w:color w:val="000000" w:themeColor="text1"/>
          <w:sz w:val="21"/>
          <w:szCs w:val="21"/>
          <w:highlight w:val="none"/>
          <w:u w:val="single"/>
          <w14:textFill>
            <w14:solidFill>
              <w14:schemeClr w14:val="tx1"/>
            </w14:solidFill>
          </w14:textFill>
        </w:rPr>
        <w:instrText xml:space="preserve"> HYPERLINK "mailto:luosuling@gdtengen.com" </w:instrText>
      </w:r>
      <w:r>
        <w:rPr>
          <w:rFonts w:hint="eastAsia" w:ascii="宋体" w:hAnsi="宋体" w:cs="宋体"/>
          <w:color w:val="000000" w:themeColor="text1"/>
          <w:sz w:val="21"/>
          <w:szCs w:val="21"/>
          <w:highlight w:val="none"/>
          <w:u w:val="single"/>
          <w14:textFill>
            <w14:solidFill>
              <w14:schemeClr w14:val="tx1"/>
            </w14:solidFill>
          </w14:textFill>
        </w:rPr>
        <w:fldChar w:fldCharType="separate"/>
      </w:r>
      <w:r>
        <w:rPr>
          <w:rStyle w:val="11"/>
          <w:rFonts w:hint="eastAsia" w:ascii="宋体" w:hAnsi="宋体" w:cs="宋体"/>
          <w:color w:val="000000" w:themeColor="text1"/>
          <w:sz w:val="21"/>
          <w:szCs w:val="21"/>
          <w:highlight w:val="none"/>
          <w:lang w:val="en-US" w:eastAsia="zh-CN"/>
          <w14:textFill>
            <w14:solidFill>
              <w14:schemeClr w14:val="tx1"/>
            </w14:solidFill>
          </w14:textFill>
        </w:rPr>
        <w:t>zxw</w:t>
      </w:r>
      <w:r>
        <w:rPr>
          <w:rStyle w:val="11"/>
          <w:rFonts w:hint="eastAsia" w:ascii="宋体" w:hAnsi="宋体" w:cs="宋体"/>
          <w:color w:val="000000" w:themeColor="text1"/>
          <w:sz w:val="21"/>
          <w:szCs w:val="21"/>
          <w:highlight w:val="none"/>
          <w14:textFill>
            <w14:solidFill>
              <w14:schemeClr w14:val="tx1"/>
            </w14:solidFill>
          </w14:textFill>
        </w:rPr>
        <w:t>@gdtengen.com</w:t>
      </w:r>
      <w:r>
        <w:rPr>
          <w:rFonts w:hint="eastAsia" w:ascii="宋体" w:hAnsi="宋体" w:cs="宋体"/>
          <w:color w:val="000000" w:themeColor="text1"/>
          <w:sz w:val="21"/>
          <w:szCs w:val="21"/>
          <w:highlight w:val="none"/>
          <w:u w:val="single"/>
          <w14:textFill>
            <w14:solidFill>
              <w14:schemeClr w14:val="tx1"/>
            </w14:solidFill>
          </w14:textFill>
        </w:rPr>
        <w:fldChar w:fldCharType="end"/>
      </w:r>
    </w:p>
    <w:p w14:paraId="533E3886">
      <w:pPr>
        <w:widowControl/>
        <w:spacing w:line="240" w:lineRule="auto"/>
        <w:ind w:firstLine="480" w:firstLineChars="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甲方鼓励实名举报，对于举报属实的供应商，在保证物资交付质量、交付时效的前提下，给予优先合作权和增加合作份额的机会。</w:t>
      </w:r>
    </w:p>
    <w:p w14:paraId="36EAD0D7">
      <w:pPr>
        <w:spacing w:line="288"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十三</w:t>
      </w:r>
      <w:r>
        <w:rPr>
          <w:rFonts w:hint="eastAsia" w:ascii="宋体" w:hAnsi="宋体" w:cs="宋体"/>
          <w:color w:val="000000" w:themeColor="text1"/>
          <w:sz w:val="21"/>
          <w:szCs w:val="21"/>
          <w:highlight w:val="none"/>
          <w14:textFill>
            <w14:solidFill>
              <w14:schemeClr w14:val="tx1"/>
            </w14:solidFill>
          </w14:textFill>
        </w:rPr>
        <w:t>、在甲方公开相关索贿及行贿行为前，乙方对所掌握的事实和证据均予严格保密，除向甲方提供外，不向其他人员泄露。</w:t>
      </w:r>
    </w:p>
    <w:p w14:paraId="2692FFA6">
      <w:pPr>
        <w:spacing w:line="288"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十</w:t>
      </w:r>
      <w:r>
        <w:rPr>
          <w:rFonts w:hint="eastAsia" w:ascii="宋体" w:hAnsi="宋体" w:cs="宋体"/>
          <w:color w:val="000000" w:themeColor="text1"/>
          <w:sz w:val="21"/>
          <w:szCs w:val="21"/>
          <w:highlight w:val="none"/>
          <w:lang w:val="en-US" w:eastAsia="zh-CN"/>
          <w14:textFill>
            <w14:solidFill>
              <w14:schemeClr w14:val="tx1"/>
            </w14:solidFill>
          </w14:textFill>
        </w:rPr>
        <w:t>四</w:t>
      </w:r>
      <w:r>
        <w:rPr>
          <w:rFonts w:hint="eastAsia" w:ascii="宋体" w:hAnsi="宋体" w:cs="宋体"/>
          <w:color w:val="000000" w:themeColor="text1"/>
          <w:sz w:val="21"/>
          <w:szCs w:val="21"/>
          <w:highlight w:val="none"/>
          <w14:textFill>
            <w14:solidFill>
              <w14:schemeClr w14:val="tx1"/>
            </w14:solidFill>
          </w14:textFill>
        </w:rPr>
        <w:t>、对于甲方进行的调查，乙方应尽其所能予以配合，乙方应向甲方提供所掌握的相关财务账簿等证据资料，协助对供应商相关人员进行调查了解</w:t>
      </w:r>
      <w:r>
        <w:rPr>
          <w:rFonts w:hint="eastAsia" w:ascii="宋体" w:hAnsi="宋体" w:cs="宋体"/>
          <w:color w:val="000000" w:themeColor="text1"/>
          <w:sz w:val="21"/>
          <w:szCs w:val="21"/>
          <w:highlight w:val="none"/>
          <w:lang w:eastAsia="zh-CN"/>
          <w14:textFill>
            <w14:solidFill>
              <w14:schemeClr w14:val="tx1"/>
            </w14:solidFill>
          </w14:textFill>
        </w:rPr>
        <w:t>。</w:t>
      </w:r>
    </w:p>
    <w:p w14:paraId="6C74E56E">
      <w:pPr>
        <w:spacing w:line="288"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十</w:t>
      </w:r>
      <w:r>
        <w:rPr>
          <w:rFonts w:hint="eastAsia" w:ascii="宋体" w:hAnsi="宋体" w:cs="宋体"/>
          <w:color w:val="000000" w:themeColor="text1"/>
          <w:sz w:val="21"/>
          <w:szCs w:val="21"/>
          <w:highlight w:val="none"/>
          <w:lang w:val="en-US" w:eastAsia="zh-CN"/>
          <w14:textFill>
            <w14:solidFill>
              <w14:schemeClr w14:val="tx1"/>
            </w14:solidFill>
          </w14:textFill>
        </w:rPr>
        <w:t>五</w:t>
      </w:r>
      <w:r>
        <w:rPr>
          <w:rFonts w:hint="eastAsia" w:ascii="宋体" w:hAnsi="宋体" w:cs="宋体"/>
          <w:color w:val="000000" w:themeColor="text1"/>
          <w:sz w:val="21"/>
          <w:szCs w:val="21"/>
          <w:highlight w:val="none"/>
          <w14:textFill>
            <w14:solidFill>
              <w14:schemeClr w14:val="tx1"/>
            </w14:solidFill>
          </w14:textFill>
        </w:rPr>
        <w:t>、乙方及其工作人员、或乙方委托的其他人员有向甲方</w:t>
      </w:r>
      <w:r>
        <w:rPr>
          <w:rFonts w:hint="eastAsia" w:ascii="宋体" w:hAnsi="宋体" w:cs="宋体"/>
          <w:color w:val="000000" w:themeColor="text1"/>
          <w:kern w:val="0"/>
          <w:sz w:val="21"/>
          <w:szCs w:val="21"/>
          <w:highlight w:val="none"/>
          <w14:textFill>
            <w14:solidFill>
              <w14:schemeClr w14:val="tx1"/>
            </w14:solidFill>
          </w14:textFill>
        </w:rPr>
        <w:t>员工或</w:t>
      </w:r>
      <w:r>
        <w:rPr>
          <w:rFonts w:hint="eastAsia" w:ascii="宋体" w:hAnsi="宋体" w:cs="宋体"/>
          <w:color w:val="000000" w:themeColor="text1"/>
          <w:sz w:val="21"/>
          <w:szCs w:val="21"/>
          <w:highlight w:val="none"/>
          <w14:textFill>
            <w14:solidFill>
              <w14:schemeClr w14:val="tx1"/>
            </w14:solidFill>
          </w14:textFill>
        </w:rPr>
        <w:t>其亲友提供贿赂的，违反本协议前</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cs="宋体"/>
          <w:color w:val="000000" w:themeColor="text1"/>
          <w:sz w:val="21"/>
          <w:szCs w:val="21"/>
          <w:highlight w:val="none"/>
          <w14:textFill>
            <w14:solidFill>
              <w14:schemeClr w14:val="tx1"/>
            </w14:solidFill>
          </w14:textFill>
        </w:rPr>
        <w:t>项条款的，</w:t>
      </w:r>
      <w:r>
        <w:rPr>
          <w:rFonts w:hint="eastAsia" w:ascii="宋体" w:hAnsi="宋体" w:cs="宋体"/>
          <w:color w:val="000000" w:themeColor="text1"/>
          <w:sz w:val="21"/>
          <w:szCs w:val="21"/>
          <w:highlight w:val="none"/>
          <w:lang w:val="en-US" w:eastAsia="zh-CN"/>
          <w14:textFill>
            <w14:solidFill>
              <w14:schemeClr w14:val="tx1"/>
            </w14:solidFill>
          </w14:textFill>
        </w:rPr>
        <w:t>均属于违约。任何视频、影像、图片、通话记录、沟通记录等一切迹象，均构成有效违约证据。</w:t>
      </w:r>
      <w:r>
        <w:rPr>
          <w:rFonts w:hint="eastAsia" w:ascii="宋体" w:hAnsi="宋体" w:cs="宋体"/>
          <w:color w:val="000000" w:themeColor="text1"/>
          <w:sz w:val="21"/>
          <w:szCs w:val="21"/>
          <w:highlight w:val="none"/>
          <w14:textFill>
            <w14:solidFill>
              <w14:schemeClr w14:val="tx1"/>
            </w14:solidFill>
          </w14:textFill>
        </w:rPr>
        <w:t>甲方有权单方终止与乙方签订的采购合同，</w:t>
      </w:r>
      <w:r>
        <w:rPr>
          <w:rFonts w:hint="eastAsia" w:ascii="宋体" w:hAnsi="宋体" w:cs="宋体"/>
          <w:color w:val="000000" w:themeColor="text1"/>
          <w:sz w:val="21"/>
          <w:szCs w:val="21"/>
          <w:highlight w:val="none"/>
          <w:lang w:val="en-US" w:eastAsia="zh-CN"/>
          <w14:textFill>
            <w14:solidFill>
              <w14:schemeClr w14:val="tx1"/>
            </w14:solidFill>
          </w14:textFill>
        </w:rPr>
        <w:t>且</w:t>
      </w:r>
      <w:r>
        <w:rPr>
          <w:rFonts w:hint="eastAsia" w:ascii="宋体" w:hAnsi="宋体" w:cs="宋体"/>
          <w:color w:val="000000" w:themeColor="text1"/>
          <w:sz w:val="21"/>
          <w:szCs w:val="21"/>
          <w:highlight w:val="none"/>
          <w14:textFill>
            <w14:solidFill>
              <w14:schemeClr w14:val="tx1"/>
            </w14:solidFill>
          </w14:textFill>
        </w:rPr>
        <w:t>乙方应按以下标准向甲方支付违约金：</w:t>
      </w:r>
    </w:p>
    <w:p w14:paraId="2A53A59F">
      <w:pPr>
        <w:widowControl/>
        <w:spacing w:line="288" w:lineRule="auto"/>
        <w:ind w:firstLine="210" w:firstLineChars="100"/>
        <w:jc w:val="left"/>
        <w:rPr>
          <w:rFonts w:hint="default"/>
          <w:szCs w:val="21"/>
          <w:highlight w:val="none"/>
          <w:lang w:val="en-US" w:eastAsia="zh-CN"/>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1.按照</w:t>
      </w:r>
      <w:r>
        <w:rPr>
          <w:rFonts w:hint="eastAsia" w:ascii="宋体" w:hAnsi="宋体" w:cs="宋体"/>
          <w:color w:val="000000" w:themeColor="text1"/>
          <w:kern w:val="0"/>
          <w:sz w:val="21"/>
          <w:szCs w:val="21"/>
          <w:highlight w:val="none"/>
          <w:lang w:val="en-US" w:eastAsia="zh-CN"/>
          <w14:textFill>
            <w14:solidFill>
              <w14:schemeClr w14:val="tx1"/>
            </w14:solidFill>
          </w14:textFill>
        </w:rPr>
        <w:t>双方最后一次完成交易前</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12个月</w:t>
      </w:r>
      <w:r>
        <w:rPr>
          <w:rFonts w:hint="eastAsia" w:ascii="宋体" w:hAnsi="宋体" w:cs="宋体"/>
          <w:color w:val="000000" w:themeColor="text1"/>
          <w:kern w:val="0"/>
          <w:sz w:val="21"/>
          <w:szCs w:val="21"/>
          <w:highlight w:val="none"/>
          <w:lang w:val="en-US" w:eastAsia="zh-CN"/>
          <w14:textFill>
            <w14:solidFill>
              <w14:schemeClr w14:val="tx1"/>
            </w14:solidFill>
          </w14:textFill>
        </w:rPr>
        <w:t>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交易总额的</w:t>
      </w: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或按行贿金额的5倍（若给予物品的，按照发现行贿时的市场价或评估价折算）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作为</w:t>
      </w:r>
      <w:r>
        <w:rPr>
          <w:rFonts w:hint="eastAsia" w:ascii="宋体" w:hAnsi="宋体" w:cs="宋体"/>
          <w:color w:val="000000" w:themeColor="text1"/>
          <w:kern w:val="0"/>
          <w:sz w:val="21"/>
          <w:szCs w:val="21"/>
          <w:highlight w:val="none"/>
          <w:lang w:val="en-US" w:eastAsia="zh-CN"/>
          <w14:textFill>
            <w14:solidFill>
              <w14:schemeClr w14:val="tx1"/>
            </w14:solidFill>
          </w14:textFill>
        </w:rPr>
        <w:t>违约金。以上两种计算方式按高者计</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p>
    <w:p w14:paraId="5789B58C">
      <w:pPr>
        <w:spacing w:line="288" w:lineRule="auto"/>
        <w:ind w:firstLine="210" w:firstLineChars="1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乙方应于甲方发现乙方违约行为时5日内支付违约金，如未及时交付，甲方有权</w:t>
      </w:r>
      <w:r>
        <w:rPr>
          <w:rFonts w:hint="eastAsia" w:ascii="宋体" w:hAnsi="宋体" w:cs="宋体"/>
          <w:color w:val="000000" w:themeColor="text1"/>
          <w:sz w:val="21"/>
          <w:szCs w:val="21"/>
          <w:highlight w:val="none"/>
          <w14:textFill>
            <w14:solidFill>
              <w14:schemeClr w14:val="tx1"/>
            </w14:solidFill>
          </w14:textFill>
        </w:rPr>
        <w:t>从</w:t>
      </w:r>
      <w:r>
        <w:rPr>
          <w:rFonts w:hint="eastAsia" w:ascii="宋体" w:hAnsi="宋体" w:cs="宋体"/>
          <w:color w:val="000000" w:themeColor="text1"/>
          <w:sz w:val="21"/>
          <w:szCs w:val="21"/>
          <w:highlight w:val="none"/>
          <w:lang w:val="en-US" w:eastAsia="zh-CN"/>
          <w14:textFill>
            <w14:solidFill>
              <w14:schemeClr w14:val="tx1"/>
            </w14:solidFill>
          </w14:textFill>
        </w:rPr>
        <w:t>货款</w:t>
      </w:r>
      <w:r>
        <w:rPr>
          <w:rFonts w:hint="eastAsia" w:ascii="宋体" w:hAnsi="宋体" w:cs="宋体"/>
          <w:color w:val="000000" w:themeColor="text1"/>
          <w:sz w:val="21"/>
          <w:szCs w:val="21"/>
          <w:highlight w:val="none"/>
          <w14:textFill>
            <w14:solidFill>
              <w14:schemeClr w14:val="tx1"/>
            </w14:solidFill>
          </w14:textFill>
        </w:rPr>
        <w:t>中扣除，若</w:t>
      </w:r>
      <w:r>
        <w:rPr>
          <w:rFonts w:hint="eastAsia" w:ascii="宋体" w:hAnsi="宋体" w:cs="宋体"/>
          <w:color w:val="000000" w:themeColor="text1"/>
          <w:sz w:val="21"/>
          <w:szCs w:val="21"/>
          <w:highlight w:val="none"/>
          <w:lang w:val="en-US" w:eastAsia="zh-CN"/>
          <w14:textFill>
            <w14:solidFill>
              <w14:schemeClr w14:val="tx1"/>
            </w14:solidFill>
          </w14:textFill>
        </w:rPr>
        <w:t>货款</w:t>
      </w:r>
      <w:r>
        <w:rPr>
          <w:rFonts w:hint="eastAsia" w:ascii="宋体" w:hAnsi="宋体" w:cs="宋体"/>
          <w:color w:val="000000" w:themeColor="text1"/>
          <w:sz w:val="21"/>
          <w:szCs w:val="21"/>
          <w:highlight w:val="none"/>
          <w14:textFill>
            <w14:solidFill>
              <w14:schemeClr w14:val="tx1"/>
            </w14:solidFill>
          </w14:textFill>
        </w:rPr>
        <w:t>不足，乙方应及时补足。如</w:t>
      </w:r>
      <w:r>
        <w:rPr>
          <w:rFonts w:ascii="宋体" w:hAnsi="宋体" w:cs="宋体"/>
          <w:color w:val="000000" w:themeColor="text1"/>
          <w:sz w:val="21"/>
          <w:szCs w:val="21"/>
          <w:highlight w:val="none"/>
          <w14:textFill>
            <w14:solidFill>
              <w14:schemeClr w14:val="tx1"/>
            </w14:solidFill>
          </w14:textFill>
        </w:rPr>
        <w:t>乙方</w:t>
      </w:r>
      <w:r>
        <w:rPr>
          <w:rFonts w:hint="eastAsia" w:ascii="宋体" w:hAnsi="宋体" w:cs="宋体"/>
          <w:color w:val="000000" w:themeColor="text1"/>
          <w:sz w:val="21"/>
          <w:szCs w:val="21"/>
          <w:highlight w:val="none"/>
          <w14:textFill>
            <w14:solidFill>
              <w14:schemeClr w14:val="tx1"/>
            </w14:solidFill>
          </w14:textFill>
        </w:rPr>
        <w:t>拒绝向甲方支付违约金的，甲方可以向人</w:t>
      </w:r>
      <w:r>
        <w:rPr>
          <w:rFonts w:hint="eastAsia" w:ascii="宋体" w:hAnsi="宋体" w:cs="宋体"/>
          <w:color w:val="000000" w:themeColor="text1"/>
          <w:sz w:val="21"/>
          <w:szCs w:val="21"/>
          <w:highlight w:val="none"/>
          <w:lang w:val="en-US" w:eastAsia="zh-CN"/>
          <w14:textFill>
            <w14:solidFill>
              <w14:schemeClr w14:val="tx1"/>
            </w14:solidFill>
          </w14:textFill>
        </w:rPr>
        <w:t>民</w:t>
      </w:r>
      <w:r>
        <w:rPr>
          <w:rFonts w:hint="eastAsia" w:ascii="宋体" w:hAnsi="宋体" w:cs="宋体"/>
          <w:color w:val="000000" w:themeColor="text1"/>
          <w:sz w:val="21"/>
          <w:szCs w:val="21"/>
          <w:highlight w:val="none"/>
          <w14:textFill>
            <w14:solidFill>
              <w14:schemeClr w14:val="tx1"/>
            </w14:solidFill>
          </w14:textFill>
        </w:rPr>
        <w:t>法院提出起诉</w:t>
      </w:r>
      <w:r>
        <w:rPr>
          <w:rFonts w:hint="eastAsia" w:ascii="宋体" w:hAnsi="宋体" w:cs="宋体"/>
          <w:color w:val="000000" w:themeColor="text1"/>
          <w:sz w:val="21"/>
          <w:szCs w:val="21"/>
          <w:highlight w:val="none"/>
          <w:lang w:eastAsia="zh-CN"/>
          <w14:textFill>
            <w14:solidFill>
              <w14:schemeClr w14:val="tx1"/>
            </w14:solidFill>
          </w14:textFill>
        </w:rPr>
        <w:t>；</w:t>
      </w:r>
    </w:p>
    <w:p w14:paraId="4E077668">
      <w:pPr>
        <w:widowControl/>
        <w:spacing w:line="288" w:lineRule="auto"/>
        <w:ind w:firstLine="210" w:firstLineChars="100"/>
        <w:jc w:val="left"/>
        <w:outlineLvl w:val="1"/>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3.甲方有权将乙方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被列入甲方黑名单或者不诚信名单，予以冻结；</w:t>
      </w:r>
    </w:p>
    <w:p w14:paraId="7375AF28">
      <w:pPr>
        <w:spacing w:line="288" w:lineRule="auto"/>
        <w:ind w:firstLine="210" w:firstLineChars="1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4.甲方有权将乙方不诚信行为</w:t>
      </w:r>
      <w:r>
        <w:rPr>
          <w:rFonts w:hint="eastAsia" w:ascii="宋体" w:hAnsi="宋体" w:cs="宋体"/>
          <w:color w:val="000000" w:themeColor="text1"/>
          <w:sz w:val="21"/>
          <w:szCs w:val="21"/>
          <w:highlight w:val="none"/>
          <w14:textFill>
            <w14:solidFill>
              <w14:schemeClr w14:val="tx1"/>
            </w14:solidFill>
          </w14:textFill>
        </w:rPr>
        <w:t>录入</w:t>
      </w:r>
      <w:r>
        <w:rPr>
          <w:rFonts w:hint="eastAsia" w:ascii="宋体" w:hAnsi="宋体" w:cs="宋体"/>
          <w:b/>
          <w:bCs/>
          <w:color w:val="000000" w:themeColor="text1"/>
          <w:sz w:val="21"/>
          <w:szCs w:val="21"/>
          <w:highlight w:val="none"/>
          <w14:textFill>
            <w14:solidFill>
              <w14:schemeClr w14:val="tx1"/>
            </w14:solidFill>
          </w14:textFill>
        </w:rPr>
        <w:t>“企业反舞弊联盟不诚信供应商黑名单系统”</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并在</w:t>
      </w:r>
      <w:r>
        <w:rPr>
          <w:rFonts w:hint="eastAsia" w:ascii="宋体" w:hAnsi="宋体" w:cs="宋体"/>
          <w:color w:val="000000" w:themeColor="text1"/>
          <w:sz w:val="21"/>
          <w:szCs w:val="21"/>
          <w:highlight w:val="none"/>
          <w:lang w:val="en-US" w:eastAsia="zh-CN"/>
          <w14:textFill>
            <w14:solidFill>
              <w14:schemeClr w14:val="tx1"/>
            </w14:solidFill>
          </w14:textFill>
        </w:rPr>
        <w:t>甲方</w:t>
      </w:r>
      <w:r>
        <w:rPr>
          <w:rFonts w:hint="eastAsia" w:ascii="宋体" w:hAnsi="宋体" w:cs="宋体"/>
          <w:color w:val="000000" w:themeColor="text1"/>
          <w:sz w:val="21"/>
          <w:szCs w:val="21"/>
          <w:highlight w:val="none"/>
          <w14:textFill>
            <w14:solidFill>
              <w14:schemeClr w14:val="tx1"/>
            </w14:solidFill>
          </w14:textFill>
        </w:rPr>
        <w:t>网站及微信公众号</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视频号、抖音</w:t>
      </w:r>
      <w:r>
        <w:rPr>
          <w:rFonts w:hint="eastAsia" w:ascii="宋体" w:hAnsi="宋体" w:cs="宋体"/>
          <w:color w:val="000000" w:themeColor="text1"/>
          <w:sz w:val="21"/>
          <w:szCs w:val="21"/>
          <w:highlight w:val="none"/>
          <w14:textFill>
            <w14:solidFill>
              <w14:schemeClr w14:val="tx1"/>
            </w14:solidFill>
          </w14:textFill>
        </w:rPr>
        <w:t>等平台公开通报。</w:t>
      </w:r>
    </w:p>
    <w:p w14:paraId="07B7431A">
      <w:pPr>
        <w:spacing w:line="288" w:lineRule="auto"/>
        <w:outlineLvl w:val="0"/>
        <w:rPr>
          <w:rFonts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 xml:space="preserve"> </w:t>
      </w:r>
      <w:r>
        <w:rPr>
          <w:rFonts w:hint="eastAsia" w:ascii="宋体" w:hAnsi="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Cs/>
          <w:color w:val="000000" w:themeColor="text1"/>
          <w:sz w:val="21"/>
          <w:szCs w:val="21"/>
          <w:highlight w:val="none"/>
          <w14:textFill>
            <w14:solidFill>
              <w14:schemeClr w14:val="tx1"/>
            </w14:solidFill>
          </w14:textFill>
        </w:rPr>
        <w:t xml:space="preserve"> </w:t>
      </w:r>
      <w:bookmarkStart w:id="13" w:name="_Toc28183"/>
      <w:r>
        <w:rPr>
          <w:rFonts w:hint="eastAsia" w:ascii="宋体" w:hAnsi="宋体" w:cs="宋体"/>
          <w:bCs/>
          <w:color w:val="000000" w:themeColor="text1"/>
          <w:sz w:val="21"/>
          <w:szCs w:val="21"/>
          <w:highlight w:val="none"/>
          <w14:textFill>
            <w14:solidFill>
              <w14:schemeClr w14:val="tx1"/>
            </w14:solidFill>
          </w14:textFill>
        </w:rPr>
        <w:t>十</w:t>
      </w:r>
      <w:r>
        <w:rPr>
          <w:rFonts w:hint="eastAsia" w:ascii="宋体" w:hAnsi="宋体" w:cs="宋体"/>
          <w:bCs/>
          <w:color w:val="000000" w:themeColor="text1"/>
          <w:sz w:val="21"/>
          <w:szCs w:val="21"/>
          <w:highlight w:val="none"/>
          <w:lang w:val="en-US" w:eastAsia="zh-CN"/>
          <w14:textFill>
            <w14:solidFill>
              <w14:schemeClr w14:val="tx1"/>
            </w14:solidFill>
          </w14:textFill>
        </w:rPr>
        <w:t>六</w:t>
      </w:r>
      <w:r>
        <w:rPr>
          <w:rFonts w:hint="eastAsia" w:ascii="宋体" w:hAnsi="宋体" w:cs="宋体"/>
          <w:bCs/>
          <w:color w:val="000000" w:themeColor="text1"/>
          <w:sz w:val="21"/>
          <w:szCs w:val="21"/>
          <w:highlight w:val="none"/>
          <w14:textFill>
            <w14:solidFill>
              <w14:schemeClr w14:val="tx1"/>
            </w14:solidFill>
          </w14:textFill>
        </w:rPr>
        <w:t>、其它</w:t>
      </w:r>
      <w:bookmarkEnd w:id="13"/>
    </w:p>
    <w:p w14:paraId="72A4130B">
      <w:pPr>
        <w:spacing w:line="288" w:lineRule="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1.</w:t>
      </w:r>
      <w:r>
        <w:rPr>
          <w:rFonts w:hint="eastAsia" w:ascii="宋体" w:hAnsi="宋体" w:cs="宋体"/>
          <w:color w:val="000000" w:themeColor="text1"/>
          <w:kern w:val="0"/>
          <w:sz w:val="21"/>
          <w:szCs w:val="21"/>
          <w:highlight w:val="none"/>
          <w14:textFill>
            <w14:solidFill>
              <w14:schemeClr w14:val="tx1"/>
            </w14:solidFill>
          </w14:textFill>
        </w:rPr>
        <w:t xml:space="preserve"> 乙方不得与甲方其它供应商对甲方所需某一产品联合报价（串标）。如经发现，</w:t>
      </w:r>
      <w:r>
        <w:rPr>
          <w:rFonts w:hint="eastAsia" w:ascii="宋体" w:hAnsi="宋体" w:cs="宋体"/>
          <w:color w:val="000000" w:themeColor="text1"/>
          <w:sz w:val="21"/>
          <w:szCs w:val="21"/>
          <w:highlight w:val="none"/>
          <w14:textFill>
            <w14:solidFill>
              <w14:schemeClr w14:val="tx1"/>
            </w14:solidFill>
          </w14:textFill>
        </w:rPr>
        <w:t>甲方有权</w:t>
      </w:r>
      <w:r>
        <w:rPr>
          <w:rFonts w:hint="eastAsia" w:ascii="宋体" w:hAnsi="宋体" w:cs="宋体"/>
          <w:color w:val="000000" w:themeColor="text1"/>
          <w:kern w:val="0"/>
          <w:sz w:val="21"/>
          <w:szCs w:val="21"/>
          <w:highlight w:val="none"/>
          <w14:textFill>
            <w14:solidFill>
              <w14:schemeClr w14:val="tx1"/>
            </w14:solidFill>
          </w14:textFill>
        </w:rPr>
        <w:t>立即</w:t>
      </w:r>
      <w:r>
        <w:rPr>
          <w:rFonts w:hint="eastAsia" w:ascii="宋体" w:hAnsi="宋体" w:cs="宋体"/>
          <w:color w:val="000000" w:themeColor="text1"/>
          <w:sz w:val="21"/>
          <w:szCs w:val="21"/>
          <w:highlight w:val="none"/>
          <w14:textFill>
            <w14:solidFill>
              <w14:schemeClr w14:val="tx1"/>
            </w14:solidFill>
          </w14:textFill>
        </w:rPr>
        <w:t>解除与乙方的采购合同关系，解除采购合同所造成的损失由乙方全部承担。</w:t>
      </w:r>
    </w:p>
    <w:p w14:paraId="1D9C8958">
      <w:pPr>
        <w:spacing w:line="288"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2.本协议中的甲方，代表甲方与甲方的子公司、分公司；乙方，代表乙方与乙方的子公司、分公司。本协议一经签订，甲方及甲方的子公司与分公司、乙方及乙方的子公司与分公司均应遵守本协议的约定。</w:t>
      </w:r>
    </w:p>
    <w:p w14:paraId="3AED10FD">
      <w:pPr>
        <w:spacing w:line="288"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3.本协议书自甲乙双方签章之日生效，长期有效，并有溯及既往的法律效力。甲乙双方采购业务关系的变更或解除，不影响本协议书的效力。</w:t>
      </w:r>
    </w:p>
    <w:p w14:paraId="4409E986">
      <w:pPr>
        <w:spacing w:line="288"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4.因履行本协议发生争议的，甲乙双方应首先通过协商解决，协商无法解决的，双方均有权向甲方所在地有管辖权的人民法院提起诉讼。</w:t>
      </w:r>
    </w:p>
    <w:p w14:paraId="3573F5AA">
      <w:pPr>
        <w:spacing w:line="288" w:lineRule="auto"/>
        <w:ind w:firstLine="420" w:firstLine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本协议壹式肆份，甲方三份（经办部门一份、财务部门一份、档案室一份），乙方一份，盖章后生效</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。附件</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均</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为本协议的有效附件，同具法律效力。</w:t>
      </w:r>
    </w:p>
    <w:p w14:paraId="14CBC49B">
      <w:pPr>
        <w:spacing w:line="288" w:lineRule="auto"/>
        <w:ind w:firstLine="0" w:firstLineChars="0"/>
        <w:rPr>
          <w:rFonts w:ascii="宋体" w:hAnsi="宋体" w:cs="宋体"/>
          <w:color w:val="000000" w:themeColor="text1"/>
          <w:sz w:val="21"/>
          <w:szCs w:val="21"/>
          <w:highlight w:val="none"/>
          <w14:textFill>
            <w14:solidFill>
              <w14:schemeClr w14:val="tx1"/>
            </w14:solidFill>
          </w14:textFill>
        </w:rPr>
      </w:pPr>
    </w:p>
    <w:p w14:paraId="55C69AD1">
      <w:pPr>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甲方：</w:t>
      </w:r>
      <w:permStart w:id="12" w:edGrp="everyone"/>
      <w:r>
        <w:rPr>
          <w:rFonts w:hint="eastAsia" w:ascii="宋体" w:hAnsi="宋体" w:cs="宋体"/>
          <w:color w:val="000000" w:themeColor="text1"/>
          <w:sz w:val="21"/>
          <w:szCs w:val="21"/>
          <w:highlight w:val="none"/>
          <w14:textFill>
            <w14:solidFill>
              <w14:schemeClr w14:val="tx1"/>
            </w14:solidFill>
          </w14:textFill>
        </w:rPr>
        <w:t xml:space="preserve"> 广东天元实业集团股份有限公司</w:t>
      </w:r>
      <w:r>
        <w:rPr>
          <w:rFonts w:hint="eastAsia" w:ascii="宋体" w:hAnsi="宋体" w:cs="宋体"/>
          <w:color w:val="000000" w:themeColor="text1"/>
          <w:sz w:val="21"/>
          <w:szCs w:val="21"/>
          <w:highlight w:val="none"/>
          <w:lang w:eastAsia="zh-CN"/>
          <w14:textFill>
            <w14:solidFill>
              <w14:schemeClr w14:val="tx1"/>
            </w14:solidFill>
          </w14:textFill>
        </w:rPr>
        <w:t>（公章）</w:t>
      </w:r>
      <w:permEnd w:id="12"/>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乙方：</w:t>
      </w:r>
      <w:permStart w:id="13" w:edGrp="everyone"/>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eastAsia="zh-CN"/>
          <w14:textFill>
            <w14:solidFill>
              <w14:schemeClr w14:val="tx1"/>
            </w14:solidFill>
          </w14:textFill>
        </w:rPr>
        <w:t>（公章）</w:t>
      </w:r>
      <w:permEnd w:id="13"/>
    </w:p>
    <w:p w14:paraId="28AF6C7C">
      <w:pPr>
        <w:spacing w:line="360" w:lineRule="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代表人：</w:t>
      </w:r>
      <w:permStart w:id="14" w:edGrp="everyone"/>
      <w:r>
        <w:rPr>
          <w:rFonts w:hint="eastAsia" w:ascii="宋体" w:hAnsi="宋体" w:cs="宋体"/>
          <w:color w:val="000000" w:themeColor="text1"/>
          <w:sz w:val="21"/>
          <w:szCs w:val="21"/>
          <w:highlight w:val="none"/>
          <w14:textFill>
            <w14:solidFill>
              <w14:schemeClr w14:val="tx1"/>
            </w14:solidFill>
          </w14:textFill>
        </w:rPr>
        <w:t xml:space="preserve">    </w:t>
      </w:r>
      <w:permEnd w:id="14"/>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代表人：</w:t>
      </w:r>
      <w:permStart w:id="15" w:edGrp="everyone"/>
    </w:p>
    <w:permEnd w:id="15"/>
    <w:p w14:paraId="4EE103FE">
      <w:pPr>
        <w:spacing w:line="360" w:lineRule="auto"/>
        <w:rPr>
          <w:rFonts w:hint="default" w:ascii="宋体" w:hAnsi="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经办人：</w:t>
      </w:r>
      <w:r>
        <w:rPr>
          <w:rFonts w:hint="eastAsia" w:ascii="宋体" w:hAnsi="宋体" w:cs="宋体"/>
          <w:color w:val="000000" w:themeColor="text1"/>
          <w:sz w:val="21"/>
          <w:szCs w:val="21"/>
          <w:highlight w:val="none"/>
          <w14:textFill>
            <w14:solidFill>
              <w14:schemeClr w14:val="tx1"/>
            </w14:solidFill>
          </w14:textFill>
        </w:rPr>
        <w:t xml:space="preserve"> </w:t>
      </w:r>
      <w:permStart w:id="16" w:edGrp="everyone"/>
      <w:r>
        <w:rPr>
          <w:rFonts w:hint="eastAsia" w:ascii="宋体" w:hAnsi="宋体" w:cs="宋体"/>
          <w:color w:val="000000" w:themeColor="text1"/>
          <w:sz w:val="21"/>
          <w:szCs w:val="21"/>
          <w:highlight w:val="none"/>
          <w14:textFill>
            <w14:solidFill>
              <w14:schemeClr w14:val="tx1"/>
            </w14:solidFill>
          </w14:textFill>
        </w:rPr>
        <w:t xml:space="preserve">   </w:t>
      </w:r>
      <w:permEnd w:id="16"/>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经办人：</w:t>
      </w:r>
      <w:permStart w:id="17" w:edGrp="everyone"/>
    </w:p>
    <w:permEnd w:id="17"/>
    <w:p w14:paraId="6C69CE84">
      <w:pPr>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日期：</w:t>
      </w:r>
      <w:permStart w:id="18" w:edGrp="everyone"/>
      <w:r>
        <w:rPr>
          <w:rFonts w:hint="eastAsia" w:ascii="宋体" w:hAnsi="宋体" w:cs="宋体"/>
          <w:color w:val="000000" w:themeColor="text1"/>
          <w:sz w:val="21"/>
          <w:szCs w:val="21"/>
          <w:highlight w:val="none"/>
          <w14:textFill>
            <w14:solidFill>
              <w14:schemeClr w14:val="tx1"/>
            </w14:solidFill>
          </w14:textFill>
        </w:rPr>
        <w:t xml:space="preserve">   </w:t>
      </w:r>
      <w:permEnd w:id="18"/>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日期：</w:t>
      </w:r>
      <w:permStart w:id="19" w:edGrp="everyone"/>
    </w:p>
    <w:permEnd w:id="19"/>
    <w:p w14:paraId="2C8C46B8">
      <w:pPr>
        <w:keepNext w:val="0"/>
        <w:keepLines w:val="0"/>
        <w:pageBreakBefore/>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附件二：</w:t>
      </w:r>
    </w:p>
    <w:p w14:paraId="05F09F8D">
      <w:pPr>
        <w:spacing w:line="360" w:lineRule="auto"/>
        <w:ind w:firstLine="0" w:firstLineChars="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设备详细参数</w:t>
      </w:r>
    </w:p>
    <w:sectPr>
      <w:headerReference r:id="rId3" w:type="default"/>
      <w:footerReference r:id="rId4" w:type="default"/>
      <w:pgSz w:w="11906" w:h="16838"/>
      <w:pgMar w:top="1402" w:right="786" w:bottom="948" w:left="12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24FF7">
    <w:pPr>
      <w:pStyle w:val="6"/>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F1866">
    <w:pPr>
      <w:pStyle w:val="7"/>
      <w:jc w:val="both"/>
    </w:pPr>
    <w:r>
      <w:rPr>
        <w:rFonts w:hint="eastAsia"/>
      </w:rPr>
      <w:drawing>
        <wp:inline distT="0" distB="0" distL="0" distR="0">
          <wp:extent cx="933450" cy="361950"/>
          <wp:effectExtent l="19050" t="0" r="0" b="0"/>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noChangeArrowheads="1"/>
                  </pic:cNvPicPr>
                </pic:nvPicPr>
                <pic:blipFill>
                  <a:blip r:embed="rId1"/>
                  <a:srcRect/>
                  <a:stretch>
                    <a:fillRect/>
                  </a:stretch>
                </pic:blipFill>
                <pic:spPr>
                  <a:xfrm>
                    <a:off x="0" y="0"/>
                    <a:ext cx="933450" cy="361950"/>
                  </a:xfrm>
                  <a:prstGeom prst="rect">
                    <a:avLst/>
                  </a:prstGeom>
                  <a:noFill/>
                  <a:ln w="9525">
                    <a:noFill/>
                    <a:miter lim="800000"/>
                    <a:headEnd/>
                    <a:tailEnd/>
                  </a:ln>
                </pic:spPr>
              </pic:pic>
            </a:graphicData>
          </a:graphic>
        </wp:inline>
      </w:drawing>
    </w:r>
    <w:r>
      <w:rPr>
        <w:rFonts w:hint="eastAsia"/>
      </w:rPr>
      <w:t xml:space="preserve">                   广东天元实业集团股份有限公司                       股票代码：003003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8BFA9"/>
    <w:multiLevelType w:val="singleLevel"/>
    <w:tmpl w:val="59C8BFA9"/>
    <w:lvl w:ilvl="0" w:tentative="0">
      <w:start w:val="13"/>
      <w:numFmt w:val="chineseCounting"/>
      <w:suff w:val="space"/>
      <w:lvlText w:val="第%1条"/>
      <w:lvlJc w:val="left"/>
    </w:lvl>
  </w:abstractNum>
  <w:abstractNum w:abstractNumId="1">
    <w:nsid w:val="5AEB022F"/>
    <w:multiLevelType w:val="singleLevel"/>
    <w:tmpl w:val="5AEB022F"/>
    <w:lvl w:ilvl="0" w:tentative="0">
      <w:start w:val="1"/>
      <w:numFmt w:val="chineseCounting"/>
      <w:suff w:val="space"/>
      <w:lvlText w:val="第%1条"/>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formatting="1" w:enforcement="1" w:cryptProviderType="rsaFull" w:cryptAlgorithmClass="hash" w:cryptAlgorithmType="typeAny" w:cryptAlgorithmSid="4" w:cryptSpinCount="0" w:hash="e6/QjVj6fbplUYLDm1THCoPtY54=" w:salt="WpQuDlfvuF8Pmh7aZQTAVw=="/>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xZDVhNDZiNDE1YWFhMmExZjY4NTdmMWExNjViZTgifQ=="/>
  </w:docVars>
  <w:rsids>
    <w:rsidRoot w:val="00172A27"/>
    <w:rsid w:val="00032E90"/>
    <w:rsid w:val="000821CC"/>
    <w:rsid w:val="001072B8"/>
    <w:rsid w:val="00170315"/>
    <w:rsid w:val="00172A27"/>
    <w:rsid w:val="001763D5"/>
    <w:rsid w:val="001A2467"/>
    <w:rsid w:val="001F67D6"/>
    <w:rsid w:val="00202B61"/>
    <w:rsid w:val="00227DA3"/>
    <w:rsid w:val="00240CDF"/>
    <w:rsid w:val="002F54A2"/>
    <w:rsid w:val="00307023"/>
    <w:rsid w:val="003130F9"/>
    <w:rsid w:val="003663BD"/>
    <w:rsid w:val="00370258"/>
    <w:rsid w:val="003E39CE"/>
    <w:rsid w:val="004305D7"/>
    <w:rsid w:val="00447DC9"/>
    <w:rsid w:val="004A0C29"/>
    <w:rsid w:val="004E7F70"/>
    <w:rsid w:val="0050657A"/>
    <w:rsid w:val="005065C8"/>
    <w:rsid w:val="00555F85"/>
    <w:rsid w:val="00596419"/>
    <w:rsid w:val="005A63A1"/>
    <w:rsid w:val="005F1A55"/>
    <w:rsid w:val="0063445A"/>
    <w:rsid w:val="00671AE2"/>
    <w:rsid w:val="006B4AA7"/>
    <w:rsid w:val="007B12E4"/>
    <w:rsid w:val="007B371B"/>
    <w:rsid w:val="007C7425"/>
    <w:rsid w:val="00813FAA"/>
    <w:rsid w:val="00861E70"/>
    <w:rsid w:val="00882899"/>
    <w:rsid w:val="008D7D60"/>
    <w:rsid w:val="008E0FFE"/>
    <w:rsid w:val="008F6175"/>
    <w:rsid w:val="009436C0"/>
    <w:rsid w:val="009B2C88"/>
    <w:rsid w:val="009B7AD5"/>
    <w:rsid w:val="00A17F0D"/>
    <w:rsid w:val="00AC6A25"/>
    <w:rsid w:val="00AF1F2D"/>
    <w:rsid w:val="00B10C35"/>
    <w:rsid w:val="00B24A24"/>
    <w:rsid w:val="00B27FCA"/>
    <w:rsid w:val="00B50539"/>
    <w:rsid w:val="00B532C2"/>
    <w:rsid w:val="00BD6B96"/>
    <w:rsid w:val="00C10D6E"/>
    <w:rsid w:val="00C23783"/>
    <w:rsid w:val="00C32FF8"/>
    <w:rsid w:val="00C50D48"/>
    <w:rsid w:val="00C52C6D"/>
    <w:rsid w:val="00CF7256"/>
    <w:rsid w:val="00D23840"/>
    <w:rsid w:val="00D46F8D"/>
    <w:rsid w:val="00D4706C"/>
    <w:rsid w:val="00D71F93"/>
    <w:rsid w:val="00D946EE"/>
    <w:rsid w:val="00DB4468"/>
    <w:rsid w:val="00DC59FF"/>
    <w:rsid w:val="00DF7012"/>
    <w:rsid w:val="00E0750B"/>
    <w:rsid w:val="00E079B4"/>
    <w:rsid w:val="00E14992"/>
    <w:rsid w:val="00E43951"/>
    <w:rsid w:val="00E64C0C"/>
    <w:rsid w:val="00EF4C02"/>
    <w:rsid w:val="00EF5181"/>
    <w:rsid w:val="00FA39DA"/>
    <w:rsid w:val="01FE65EC"/>
    <w:rsid w:val="02B7381C"/>
    <w:rsid w:val="02F96122"/>
    <w:rsid w:val="032121AE"/>
    <w:rsid w:val="034C29E1"/>
    <w:rsid w:val="0420775E"/>
    <w:rsid w:val="04545777"/>
    <w:rsid w:val="047E02ED"/>
    <w:rsid w:val="04AB5013"/>
    <w:rsid w:val="04B54900"/>
    <w:rsid w:val="04BD5452"/>
    <w:rsid w:val="057132F2"/>
    <w:rsid w:val="05AE1EBA"/>
    <w:rsid w:val="05CB34BC"/>
    <w:rsid w:val="06226E50"/>
    <w:rsid w:val="065906F6"/>
    <w:rsid w:val="07277E4A"/>
    <w:rsid w:val="07BB77CE"/>
    <w:rsid w:val="08564CB9"/>
    <w:rsid w:val="09B24CE5"/>
    <w:rsid w:val="0AE90008"/>
    <w:rsid w:val="0BBA6224"/>
    <w:rsid w:val="0C7927A3"/>
    <w:rsid w:val="0CC06DF7"/>
    <w:rsid w:val="0CC547F0"/>
    <w:rsid w:val="0CE90ADE"/>
    <w:rsid w:val="0D100FB9"/>
    <w:rsid w:val="0D6D383A"/>
    <w:rsid w:val="0D8933C0"/>
    <w:rsid w:val="0E9E387B"/>
    <w:rsid w:val="0EAA6824"/>
    <w:rsid w:val="0ED40186"/>
    <w:rsid w:val="109144B5"/>
    <w:rsid w:val="10C3689D"/>
    <w:rsid w:val="10F2465E"/>
    <w:rsid w:val="10F60887"/>
    <w:rsid w:val="12731C0D"/>
    <w:rsid w:val="12BB7324"/>
    <w:rsid w:val="12CF17EF"/>
    <w:rsid w:val="12D0036B"/>
    <w:rsid w:val="13FE6D51"/>
    <w:rsid w:val="144056E9"/>
    <w:rsid w:val="148146C5"/>
    <w:rsid w:val="14FB50DD"/>
    <w:rsid w:val="15B21729"/>
    <w:rsid w:val="15D81C9B"/>
    <w:rsid w:val="17367E3B"/>
    <w:rsid w:val="173A1DA8"/>
    <w:rsid w:val="175D6154"/>
    <w:rsid w:val="18146D25"/>
    <w:rsid w:val="18565B80"/>
    <w:rsid w:val="18991700"/>
    <w:rsid w:val="19632DB3"/>
    <w:rsid w:val="19D43B32"/>
    <w:rsid w:val="1A5A08CA"/>
    <w:rsid w:val="1A7F5B09"/>
    <w:rsid w:val="1A87303F"/>
    <w:rsid w:val="1AA50D18"/>
    <w:rsid w:val="1AE532E2"/>
    <w:rsid w:val="1BCF0FE1"/>
    <w:rsid w:val="1C2361BA"/>
    <w:rsid w:val="1C4131EE"/>
    <w:rsid w:val="1C536632"/>
    <w:rsid w:val="1C84684D"/>
    <w:rsid w:val="1D120041"/>
    <w:rsid w:val="1DDB17FA"/>
    <w:rsid w:val="1ED72A41"/>
    <w:rsid w:val="1EE27D84"/>
    <w:rsid w:val="1EF473B8"/>
    <w:rsid w:val="1F996FAD"/>
    <w:rsid w:val="1FD777F8"/>
    <w:rsid w:val="209916F9"/>
    <w:rsid w:val="20A82B95"/>
    <w:rsid w:val="21EF2025"/>
    <w:rsid w:val="21F77FBB"/>
    <w:rsid w:val="227F0665"/>
    <w:rsid w:val="22CF042D"/>
    <w:rsid w:val="244A20C3"/>
    <w:rsid w:val="24F8727D"/>
    <w:rsid w:val="262E0321"/>
    <w:rsid w:val="263B17C8"/>
    <w:rsid w:val="26D50F4A"/>
    <w:rsid w:val="273A7F8E"/>
    <w:rsid w:val="27BA1990"/>
    <w:rsid w:val="281919BF"/>
    <w:rsid w:val="28701767"/>
    <w:rsid w:val="28E33D29"/>
    <w:rsid w:val="294B35CC"/>
    <w:rsid w:val="2978231B"/>
    <w:rsid w:val="2A0D0CC4"/>
    <w:rsid w:val="2AA850E8"/>
    <w:rsid w:val="2B683643"/>
    <w:rsid w:val="2B8F5348"/>
    <w:rsid w:val="2B931A7E"/>
    <w:rsid w:val="2C345C28"/>
    <w:rsid w:val="2D991F13"/>
    <w:rsid w:val="2D995DFB"/>
    <w:rsid w:val="2E587820"/>
    <w:rsid w:val="2E7F3BD6"/>
    <w:rsid w:val="2EFF622A"/>
    <w:rsid w:val="306222BD"/>
    <w:rsid w:val="31564E6B"/>
    <w:rsid w:val="31FD7870"/>
    <w:rsid w:val="332A6950"/>
    <w:rsid w:val="3334290F"/>
    <w:rsid w:val="33993FE9"/>
    <w:rsid w:val="3500139F"/>
    <w:rsid w:val="37E7436A"/>
    <w:rsid w:val="38DA75E9"/>
    <w:rsid w:val="38E00A96"/>
    <w:rsid w:val="39222997"/>
    <w:rsid w:val="394C00D6"/>
    <w:rsid w:val="3B587A72"/>
    <w:rsid w:val="3B8D6BCA"/>
    <w:rsid w:val="3D572D26"/>
    <w:rsid w:val="3D891758"/>
    <w:rsid w:val="3DB8304E"/>
    <w:rsid w:val="3DF011F7"/>
    <w:rsid w:val="3EDB1C5A"/>
    <w:rsid w:val="3F5A4CF4"/>
    <w:rsid w:val="411451DC"/>
    <w:rsid w:val="414E0D43"/>
    <w:rsid w:val="41F95113"/>
    <w:rsid w:val="4258452A"/>
    <w:rsid w:val="42894808"/>
    <w:rsid w:val="42B674E9"/>
    <w:rsid w:val="42DA5364"/>
    <w:rsid w:val="456033DF"/>
    <w:rsid w:val="46B97753"/>
    <w:rsid w:val="46C80233"/>
    <w:rsid w:val="47971775"/>
    <w:rsid w:val="481A0A72"/>
    <w:rsid w:val="48EC6047"/>
    <w:rsid w:val="4A485259"/>
    <w:rsid w:val="4B701885"/>
    <w:rsid w:val="4D004D94"/>
    <w:rsid w:val="4D013B8F"/>
    <w:rsid w:val="4DFA7A79"/>
    <w:rsid w:val="4E7740AE"/>
    <w:rsid w:val="4EE77A32"/>
    <w:rsid w:val="4F4B1C0F"/>
    <w:rsid w:val="502E0700"/>
    <w:rsid w:val="51B958EE"/>
    <w:rsid w:val="52526F6D"/>
    <w:rsid w:val="536925B4"/>
    <w:rsid w:val="536D0FA9"/>
    <w:rsid w:val="53E10B2B"/>
    <w:rsid w:val="54062D79"/>
    <w:rsid w:val="54267F9B"/>
    <w:rsid w:val="54712EF0"/>
    <w:rsid w:val="54856F4F"/>
    <w:rsid w:val="563E3BB3"/>
    <w:rsid w:val="56E177E5"/>
    <w:rsid w:val="57D6603A"/>
    <w:rsid w:val="585A182A"/>
    <w:rsid w:val="59D62A2B"/>
    <w:rsid w:val="5A36150F"/>
    <w:rsid w:val="5A7C22A4"/>
    <w:rsid w:val="5A897295"/>
    <w:rsid w:val="5CD932DA"/>
    <w:rsid w:val="5D062454"/>
    <w:rsid w:val="5D3200F9"/>
    <w:rsid w:val="5E0A5CAD"/>
    <w:rsid w:val="5F212CA2"/>
    <w:rsid w:val="5F8C2C1F"/>
    <w:rsid w:val="5FE50461"/>
    <w:rsid w:val="60A70D54"/>
    <w:rsid w:val="60C1494C"/>
    <w:rsid w:val="61777B6D"/>
    <w:rsid w:val="61C32632"/>
    <w:rsid w:val="645047AE"/>
    <w:rsid w:val="649E17B1"/>
    <w:rsid w:val="64C53862"/>
    <w:rsid w:val="6572306D"/>
    <w:rsid w:val="65FD358B"/>
    <w:rsid w:val="664C6B61"/>
    <w:rsid w:val="66517548"/>
    <w:rsid w:val="66564EF2"/>
    <w:rsid w:val="66EE017D"/>
    <w:rsid w:val="68DC5115"/>
    <w:rsid w:val="68E258A1"/>
    <w:rsid w:val="698F6CBE"/>
    <w:rsid w:val="6A263D2D"/>
    <w:rsid w:val="6A396BB6"/>
    <w:rsid w:val="6AF31898"/>
    <w:rsid w:val="6B620E7E"/>
    <w:rsid w:val="6B8C4EA6"/>
    <w:rsid w:val="6C1A3DE9"/>
    <w:rsid w:val="6C5C4853"/>
    <w:rsid w:val="6D4D2993"/>
    <w:rsid w:val="6D882DE9"/>
    <w:rsid w:val="6D913143"/>
    <w:rsid w:val="6DE333D5"/>
    <w:rsid w:val="6DEF3B5D"/>
    <w:rsid w:val="6EBA0CC9"/>
    <w:rsid w:val="6F10575B"/>
    <w:rsid w:val="70055830"/>
    <w:rsid w:val="70451E69"/>
    <w:rsid w:val="709F16C9"/>
    <w:rsid w:val="72554631"/>
    <w:rsid w:val="726B2544"/>
    <w:rsid w:val="733D0C48"/>
    <w:rsid w:val="73B61B44"/>
    <w:rsid w:val="750C0FF5"/>
    <w:rsid w:val="75B67A11"/>
    <w:rsid w:val="760B11FE"/>
    <w:rsid w:val="77A26354"/>
    <w:rsid w:val="77A45FD4"/>
    <w:rsid w:val="77C07821"/>
    <w:rsid w:val="77E50A88"/>
    <w:rsid w:val="78870927"/>
    <w:rsid w:val="79F93BFF"/>
    <w:rsid w:val="7AA5597C"/>
    <w:rsid w:val="7AD65B35"/>
    <w:rsid w:val="7AF244C2"/>
    <w:rsid w:val="7C5952D5"/>
    <w:rsid w:val="7C986842"/>
    <w:rsid w:val="7CF06790"/>
    <w:rsid w:val="7D0F483D"/>
    <w:rsid w:val="7D734C34"/>
    <w:rsid w:val="7D87134C"/>
    <w:rsid w:val="7EE3795F"/>
    <w:rsid w:val="7EF152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0"/>
    <w:rPr>
      <w:sz w:val="72"/>
    </w:rPr>
  </w:style>
  <w:style w:type="paragraph" w:styleId="5">
    <w:name w:val="Balloon Text"/>
    <w:basedOn w:val="1"/>
    <w:link w:val="14"/>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character" w:styleId="11">
    <w:name w:val="Hyperlink"/>
    <w:basedOn w:val="10"/>
    <w:autoRedefine/>
    <w:unhideWhenUsed/>
    <w:qFormat/>
    <w:uiPriority w:val="99"/>
    <w:rPr>
      <w:color w:val="0000FF"/>
      <w:u w:val="single"/>
    </w:rPr>
  </w:style>
  <w:style w:type="paragraph" w:customStyle="1" w:styleId="12">
    <w:name w:val="列出段落3"/>
    <w:basedOn w:val="1"/>
    <w:autoRedefine/>
    <w:unhideWhenUsed/>
    <w:qFormat/>
    <w:uiPriority w:val="99"/>
    <w:pPr>
      <w:ind w:firstLine="420" w:firstLineChars="200"/>
    </w:pPr>
  </w:style>
  <w:style w:type="character" w:customStyle="1" w:styleId="13">
    <w:name w:val="页眉 Char"/>
    <w:basedOn w:val="10"/>
    <w:link w:val="7"/>
    <w:autoRedefine/>
    <w:qFormat/>
    <w:uiPriority w:val="99"/>
    <w:rPr>
      <w:kern w:val="2"/>
      <w:sz w:val="18"/>
      <w:szCs w:val="18"/>
    </w:rPr>
  </w:style>
  <w:style w:type="character" w:customStyle="1" w:styleId="14">
    <w:name w:val="批注框文本 Char"/>
    <w:basedOn w:val="10"/>
    <w:link w:val="5"/>
    <w:autoRedefine/>
    <w:qFormat/>
    <w:uiPriority w:val="0"/>
    <w:rPr>
      <w:kern w:val="2"/>
      <w:sz w:val="18"/>
      <w:szCs w:val="18"/>
    </w:rPr>
  </w:style>
  <w:style w:type="paragraph" w:customStyle="1" w:styleId="15">
    <w:name w:val="Default"/>
    <w:autoRedefine/>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16">
    <w:name w:val="附件标题"/>
    <w:basedOn w:val="8"/>
    <w:autoRedefine/>
    <w:qFormat/>
    <w:uiPriority w:val="0"/>
    <w:pPr>
      <w:keepNext/>
      <w:pageBreakBefore/>
      <w:autoSpaceDE w:val="0"/>
      <w:autoSpaceDN w:val="0"/>
      <w:adjustRightInd w:val="0"/>
      <w:spacing w:line="360" w:lineRule="auto"/>
      <w:jc w:val="left"/>
    </w:pPr>
    <w:rPr>
      <w:rFonts w:hint="eastAsia" w:ascii="宋体" w:hAnsi="宋体" w:cs="宋体"/>
      <w:kern w:val="0"/>
      <w:sz w:val="28"/>
      <w:szCs w:val="24"/>
    </w:rPr>
  </w:style>
  <w:style w:type="paragraph" w:customStyle="1" w:styleId="1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dfgdf</Company>
  <Pages>10</Pages>
  <Words>7423</Words>
  <Characters>7704</Characters>
  <Lines>27</Lines>
  <Paragraphs>7</Paragraphs>
  <TotalTime>11</TotalTime>
  <ScaleCrop>false</ScaleCrop>
  <LinksUpToDate>false</LinksUpToDate>
  <CharactersWithSpaces>8220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2018-04-23T09:45:00Z</dcterms:created>
  <dc:creator>dell</dc:creator>
  <cp:lastModifiedBy>JYAM</cp:lastModifiedBy>
  <cp:lastPrinted>2017-12-15T04:56:00Z</cp:lastPrinted>
  <dcterms:modified xsi:type="dcterms:W3CDTF">2025-03-03T03:08:05Z</dcterms:modified>
  <dc:title>采购合同通用文本</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1C3D5DF72F8541328980D81B3F6CC022_13</vt:lpwstr>
  </property>
  <property fmtid="{D5CDD505-2E9C-101B-9397-08002B2CF9AE}" pid="4" name="KSOTemplateDocerSaveRecord">
    <vt:lpwstr>eyJoZGlkIjoiMmE2M2I3YzA1ZTIyYWRlNDI3M2MwNDFkOTg4YjBkMmUiLCJ1c2VySWQiOiI2NTMyNDYwNzIifQ==</vt:lpwstr>
  </property>
</Properties>
</file>