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default" w:ascii="仿宋" w:hAnsi="仿宋" w:eastAsia="仿宋" w:cs="仿宋"/>
          <w:b/>
          <w:bCs/>
          <w:color w:val="000000"/>
          <w:spacing w:val="0"/>
          <w:w w:val="98"/>
          <w:position w:val="0"/>
          <w:sz w:val="36"/>
          <w:highlight w:val="none"/>
          <w:u w:val="none"/>
          <w:lang w:val="en-US" w:eastAsia="zh-CN"/>
        </w:rPr>
      </w:pPr>
      <w:r>
        <w:rPr>
          <w:rFonts w:hint="eastAsia" w:ascii="仿宋" w:hAnsi="仿宋" w:eastAsia="仿宋" w:cs="仿宋"/>
          <w:b/>
          <w:bCs/>
          <w:color w:val="000000"/>
          <w:spacing w:val="0"/>
          <w:w w:val="98"/>
          <w:position w:val="0"/>
          <w:sz w:val="36"/>
          <w:highlight w:val="none"/>
          <w:u w:val="none"/>
          <w:lang w:val="en-US" w:eastAsia="zh-CN"/>
        </w:rPr>
        <w:t xml:space="preserve">  </w:t>
      </w:r>
    </w:p>
    <w:p w14:paraId="62E5525E">
      <w:pPr>
        <w:jc w:val="center"/>
        <w:rPr>
          <w:rFonts w:hint="default" w:ascii="仿宋" w:hAnsi="仿宋" w:eastAsia="仿宋" w:cs="仿宋"/>
          <w:b/>
          <w:bCs/>
          <w:sz w:val="48"/>
          <w:szCs w:val="48"/>
          <w:lang w:val="en-US"/>
        </w:rPr>
      </w:pPr>
      <w:r>
        <w:rPr>
          <w:rFonts w:hint="eastAsia" w:ascii="仿宋" w:hAnsi="仿宋" w:eastAsia="仿宋" w:cs="仿宋"/>
          <w:b/>
          <w:bCs/>
          <w:color w:val="000000"/>
          <w:spacing w:val="0"/>
          <w:w w:val="98"/>
          <w:position w:val="0"/>
          <w:sz w:val="52"/>
          <w:szCs w:val="52"/>
          <w:highlight w:val="none"/>
          <w:u w:val="none"/>
          <w:lang w:val="en-US" w:eastAsia="zh-CN"/>
        </w:rPr>
        <w:t>湖北天之元科技有限公司</w:t>
      </w: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left="3081" w:leftChars="798" w:hanging="1405" w:hangingChars="500"/>
        <w:rPr>
          <w:rFonts w:hint="default" w:ascii="仿宋" w:hAnsi="仿宋" w:eastAsia="仿宋" w:cs="仿宋"/>
          <w:b/>
          <w:bCs w:val="0"/>
          <w:color w:val="FF0000"/>
          <w:kern w:val="44"/>
          <w:sz w:val="28"/>
          <w:szCs w:val="48"/>
          <w:u w:val="non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2026年60m³立式不锈钢环烷油储存罐采购需求项目</w:t>
      </w:r>
      <w:r>
        <w:rPr>
          <w:rFonts w:hint="eastAsia" w:ascii="仿宋" w:hAnsi="仿宋" w:eastAsia="仿宋" w:cs="仿宋"/>
          <w:b/>
          <w:bCs w:val="0"/>
          <w:color w:val="FF0000"/>
          <w:kern w:val="44"/>
          <w:sz w:val="28"/>
          <w:szCs w:val="48"/>
          <w:u w:val="none"/>
          <w:lang w:val="en-US" w:eastAsia="zh-CN" w:bidi="ar"/>
        </w:rPr>
        <w:t xml:space="preserve">                        </w:t>
      </w:r>
    </w:p>
    <w:p w14:paraId="1864D549">
      <w:pPr>
        <w:ind w:firstLine="1687" w:firstLineChars="600"/>
        <w:jc w:val="left"/>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TYA202605010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5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12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single"/>
                <w:lang w:val="en-US" w:eastAsia="zh-CN" w:bidi="ar-SA"/>
              </w:rPr>
              <w:t xml:space="preserve"> </w:t>
            </w:r>
            <w:r>
              <w:rPr>
                <w:rFonts w:hint="eastAsia" w:ascii="仿宋" w:hAnsi="仿宋" w:eastAsia="仿宋" w:cs="仿宋"/>
                <w:b/>
                <w:bCs/>
                <w:color w:val="FF0000"/>
                <w:kern w:val="44"/>
                <w:sz w:val="24"/>
                <w:szCs w:val="24"/>
                <w:u w:val="single"/>
                <w:lang w:val="en-US" w:eastAsia="zh-CN" w:bidi="ar"/>
              </w:rPr>
              <w:t>2026年60m³ 立式不锈钢环烷油储存罐</w:t>
            </w:r>
            <w:r>
              <w:rPr>
                <w:rFonts w:hint="eastAsia" w:ascii="仿宋" w:hAnsi="仿宋" w:eastAsia="仿宋" w:cs="仿宋"/>
                <w:b/>
                <w:bCs/>
                <w:color w:val="FF0000"/>
                <w:kern w:val="2"/>
                <w:sz w:val="24"/>
                <w:szCs w:val="24"/>
                <w:u w:val="single"/>
                <w:lang w:val="en-US" w:eastAsia="zh-CN" w:bidi="ar-SA"/>
              </w:rPr>
              <w:t>采购需求项目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徐小梅18100231805 </w:t>
            </w:r>
            <w:r>
              <w:rPr>
                <w:rFonts w:hint="eastAsia" w:ascii="仿宋" w:hAnsi="仿宋" w:eastAsia="仿宋" w:cs="仿宋"/>
                <w:b w:val="0"/>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 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合同签约主体：湖北天之元科技有限公司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湖北省浠水经济开发区散花工业园滨江五路2号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元/个</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【通过天元实业公众号、广东天元实业官网、天元股份采购交流平台发布】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5 月 12  日-2026年 5 月 26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26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26日12:00前澄清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w:t>
            </w:r>
            <w:r>
              <w:rPr>
                <w:rFonts w:hint="eastAsia" w:ascii="仿宋" w:hAnsi="仿宋" w:eastAsia="仿宋" w:cs="仿宋"/>
                <w:b/>
                <w:bCs/>
                <w:color w:val="FF0000"/>
                <w:sz w:val="24"/>
                <w:szCs w:val="24"/>
                <w:highlight w:val="none"/>
                <w:u w:val="single"/>
                <w:lang w:val="en-US" w:eastAsia="zh-CN"/>
              </w:rPr>
              <w:t>投标单位名称+                   2026年60m³立式不锈钢环烷油储存罐采购需求项目+TYA202605010</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2026年60m³立式不锈钢环烷油储存罐采购需求项目</w:t>
            </w:r>
            <w:r>
              <w:rPr>
                <w:rFonts w:hint="eastAsia" w:ascii="仿宋" w:hAnsi="仿宋" w:eastAsia="仿宋" w:cs="仿宋"/>
                <w:b/>
                <w:bCs/>
                <w:color w:val="FF0000"/>
                <w:kern w:val="2"/>
                <w:sz w:val="24"/>
                <w:szCs w:val="24"/>
                <w:u w:val="none"/>
                <w:lang w:val="en-US" w:eastAsia="zh-CN" w:bidi="ar-SA"/>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3318D7B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850FA4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BB663BF">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00AA6A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183258E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5F9B00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2A3ED68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79D815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7116C8F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3E68A0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sz w:val="28"/>
          <w:szCs w:val="28"/>
          <w:highlight w:val="none"/>
          <w:u w:val="single"/>
          <w:lang w:val="en-US" w:eastAsia="zh-CN"/>
        </w:rPr>
        <w:t>2026年60m³立式不锈钢环烷油储存罐采购需求</w:t>
      </w:r>
      <w:r>
        <w:rPr>
          <w:rFonts w:hint="eastAsia" w:ascii="仿宋" w:hAnsi="仿宋" w:eastAsia="仿宋" w:cs="仿宋"/>
          <w:b/>
          <w:bCs/>
          <w:color w:val="FF0000"/>
          <w:kern w:val="2"/>
          <w:sz w:val="28"/>
          <w:szCs w:val="28"/>
          <w:u w:val="single"/>
          <w:lang w:val="en-US" w:eastAsia="zh-CN" w:bidi="ar-SA"/>
        </w:rPr>
        <w:t xml:space="preserve">                </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w:t>
      </w:r>
      <w:r>
        <w:rPr>
          <w:rFonts w:hint="eastAsia" w:ascii="仿宋" w:hAnsi="仿宋" w:eastAsia="仿宋" w:cs="仿宋"/>
          <w:sz w:val="28"/>
          <w:szCs w:val="28"/>
          <w:lang w:val="en-US" w:eastAsia="zh-CN"/>
        </w:rPr>
        <w:t>详情</w:t>
      </w:r>
      <w:r>
        <w:rPr>
          <w:rFonts w:hint="eastAsia" w:ascii="仿宋" w:hAnsi="仿宋" w:eastAsia="仿宋" w:cs="仿宋"/>
          <w:color w:val="auto"/>
          <w:sz w:val="28"/>
          <w:szCs w:val="28"/>
          <w:u w:val="none"/>
          <w:lang w:val="en-US" w:eastAsia="zh-CN"/>
        </w:rPr>
        <w:t>如下：</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272"/>
        <w:gridCol w:w="534"/>
        <w:gridCol w:w="580"/>
        <w:gridCol w:w="4727"/>
        <w:gridCol w:w="1477"/>
        <w:gridCol w:w="1262"/>
        <w:gridCol w:w="907"/>
      </w:tblGrid>
      <w:tr w14:paraId="4142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5808BA83">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（一）喷码机需求清单：</w:t>
            </w:r>
          </w:p>
        </w:tc>
      </w:tr>
      <w:tr w14:paraId="6CE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1FEBA393">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6E2508C">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80D159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D2F45D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BB7728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44BA61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6840B581">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C131A8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F205E8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503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59FF19">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64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60m³立式不锈钢环烷油储存罐</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FD280">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8FA379">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个</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5432E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设备名称：60m³ 立式不锈钢环烷油储存罐</w:t>
            </w:r>
          </w:p>
          <w:p w14:paraId="0341575F">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有效容积：60m³，直径3m</w:t>
            </w:r>
          </w:p>
          <w:p w14:paraId="3CC0174C">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储存介质：环烷油、矿物油类介质</w:t>
            </w:r>
          </w:p>
          <w:p w14:paraId="1359364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结构形式：立式圆柱形常压储罐</w:t>
            </w:r>
          </w:p>
          <w:p w14:paraId="629527A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主体材质：304不锈钢 整体制作，耐腐蚀、不生锈、不污染介质</w:t>
            </w:r>
          </w:p>
          <w:p w14:paraId="4F3A38E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设计压力：常压储罐，设计压力：-0.1～0.1MPa</w:t>
            </w:r>
          </w:p>
          <w:p w14:paraId="545130E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设计温度：-20℃ ～ 80℃</w:t>
            </w:r>
          </w:p>
          <w:p w14:paraId="0269B3B3">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 筒体壁厚：≥8mm</w:t>
            </w:r>
          </w:p>
          <w:p w14:paraId="03F3495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 封头壁厚：≥10mm</w:t>
            </w:r>
          </w:p>
          <w:p w14:paraId="0015DDA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10. 防腐表面：不锈钢整体抛光处理，内壁光滑无死角，耐油耐腐蚀；外壁美观防锈，无需额外油漆ing</w:t>
            </w:r>
          </w:p>
          <w:p w14:paraId="1DFAB0E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 标准接口：上进料口、下出料口、底部排污口、呼吸透气口、液位计接口、检修人孔</w:t>
            </w:r>
          </w:p>
          <w:p w14:paraId="6C6EDE1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二、设备性能指标</w:t>
            </w:r>
          </w:p>
          <w:p w14:paraId="2A68CF00">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密封性能：整体满焊工艺，焊缝严密，经水压、气密性试验合格，全程无渗漏、无挥发泄漏。</w:t>
            </w:r>
          </w:p>
          <w:p w14:paraId="7D6F207A">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耐腐蚀性能：采用304不锈钢材质，专门适配环烷油长期储存，耐油料腐蚀、不氧化、不生锈、不污染油品品质。</w:t>
            </w:r>
          </w:p>
          <w:p w14:paraId="4EB276F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安全防护：配置呼吸阀压力平衡装置，防止罐体胀罐或负压吸瘪；自带防静电接地与防雷接地结构，符合化工油品仓储安全规范。</w:t>
            </w:r>
          </w:p>
          <w:p w14:paraId="413745A7">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计量便捷：标配液位观测装置，罐内余量清晰直观，便于日常抽料、盘点、精准计量。</w:t>
            </w:r>
          </w:p>
          <w:p w14:paraId="3B44BA4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维护清洁：内壁光滑、底部低位排污设计，无积料死角，方便定期排污、清理杂质。</w:t>
            </w:r>
          </w:p>
          <w:p w14:paraId="4DB5AC6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结构稳定：立式整体加固底座，抗沉降、抗风载，结构稳固耐用，设计使用寿命≥15年。</w:t>
            </w:r>
          </w:p>
          <w:p w14:paraId="46DB75E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合规要求：按常压容器标准设计、制作、验收，满足工业环烷油储存、项目标书及现场安全使用要求。</w:t>
            </w:r>
          </w:p>
          <w:p w14:paraId="5CDD9021">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w:t>
            </w:r>
            <w:r>
              <w:rPr>
                <w:rFonts w:hint="default" w:ascii="仿宋" w:hAnsi="仿宋" w:eastAsia="仿宋" w:cs="仿宋"/>
                <w:b w:val="0"/>
                <w:bCs w:val="0"/>
                <w:i w:val="0"/>
                <w:iCs w:val="0"/>
                <w:color w:val="auto"/>
                <w:sz w:val="24"/>
                <w:szCs w:val="24"/>
                <w:u w:val="none"/>
                <w:shd w:val="clear" w:color="auto" w:fill="auto"/>
                <w:lang w:val="en-US" w:eastAsia="zh-CN"/>
              </w:rPr>
              <w:t>. 结构支撑性能：配置与罐体一体化制作的裙座/支腿支撑结构，材质为碳钢防腐或304不锈钢，与整体加固底座焊接为一体，满足设计抗沉降、抗风载及≥15年使用寿命要求，无结构薄弱点。</w:t>
            </w:r>
          </w:p>
          <w:p w14:paraId="0C7CAD23">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w:t>
            </w:r>
            <w:r>
              <w:rPr>
                <w:rFonts w:hint="default" w:ascii="仿宋" w:hAnsi="仿宋" w:eastAsia="仿宋" w:cs="仿宋"/>
                <w:b w:val="0"/>
                <w:bCs w:val="0"/>
                <w:i w:val="0"/>
                <w:iCs w:val="0"/>
                <w:color w:val="auto"/>
                <w:sz w:val="24"/>
                <w:szCs w:val="24"/>
                <w:u w:val="none"/>
                <w:shd w:val="clear" w:color="auto" w:fill="auto"/>
                <w:lang w:val="en-US" w:eastAsia="zh-CN"/>
              </w:rPr>
              <w:t>. 安全检修性能：罐壁设置带护笼直梯或盘梯，罐顶配套全周操作平台及防护栏杆，符合GB 4053.1-2025规范要求，确保人员可安全开展罐顶人孔、呼吸阀、液位计等部件的日常检修与维护作业。</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593D26">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0439F4">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湖北省浠水经济开发区散花工业园滨江五路2号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CB0F2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3541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0754B0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716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FAEB59A">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11078E4F">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送货地址：湖北省浠水经济开发区散花工业园滨江五路2号</w:t>
            </w:r>
          </w:p>
          <w:p w14:paraId="62716296">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43FD2A7F">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3E246EA2">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color w:val="FF0000"/>
          <w:sz w:val="28"/>
          <w:szCs w:val="21"/>
          <w:u w:val="single"/>
          <w:lang w:val="en-US" w:eastAsia="zh-CN"/>
        </w:rPr>
        <w:t xml:space="preserve">           2年             </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元/个</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5AC9F8C3">
      <w:pPr>
        <w:rPr>
          <w:rFonts w:hint="eastAsia"/>
          <w:lang w:val="en-US" w:eastAsia="zh-CN"/>
        </w:rPr>
      </w:pPr>
      <w:bookmarkStart w:id="7" w:name="_GoBack"/>
      <w:bookmarkEnd w:id="7"/>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2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object>
          <v:shape id="_x0000_i1027" o:spt="75" type="#_x0000_t75" style="height:66pt;width:72.75pt;" o:ole="t" filled="f" o:preferrelative="t" stroked="f" coordsize="21600,21600">
            <v:fill on="f" focussize="0,0"/>
            <v:stroke on="f"/>
            <v:imagedata r:id="rId7" o:title=""/>
            <o:lock v:ext="edit" aspectratio="t"/>
            <w10:wrap type="none"/>
            <w10:anchorlock/>
          </v:shape>
          <o:OLEObject Type="Embed" ProgID="Word.Document.12" ShapeID="_x0000_i1027" DrawAspect="Icon" ObjectID="_1468075725" r:id="rId6">
            <o:LockedField>false</o:LockedField>
          </o:OLEObject>
        </w:object>
      </w: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6"/>
          <w:rFonts w:hint="eastAsia" w:ascii="宋体" w:hAnsi="宋体" w:eastAsia="宋体" w:cs="宋体"/>
          <w:color w:val="000000"/>
          <w:sz w:val="32"/>
          <w:szCs w:val="32"/>
          <w:lang w:val="en-US" w:eastAsia="zh-CN"/>
        </w:rPr>
      </w:pPr>
    </w:p>
    <w:p w14:paraId="51184966">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140D03D4">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7"/>
        <w:tabs>
          <w:tab w:val="left" w:pos="5580"/>
        </w:tabs>
        <w:spacing w:line="360" w:lineRule="auto"/>
        <w:rPr>
          <w:rFonts w:hAnsi="宋体"/>
          <w:sz w:val="24"/>
          <w:szCs w:val="24"/>
        </w:rPr>
      </w:pPr>
    </w:p>
    <w:p w14:paraId="78BE32EA">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7"/>
        <w:tabs>
          <w:tab w:val="left" w:pos="5580"/>
        </w:tabs>
        <w:spacing w:line="360" w:lineRule="auto"/>
        <w:rPr>
          <w:rFonts w:hint="eastAsia" w:hAnsi="宋体"/>
          <w:sz w:val="24"/>
          <w:szCs w:val="24"/>
        </w:rPr>
      </w:pPr>
    </w:p>
    <w:p w14:paraId="4AFCE3B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7"/>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7"/>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7"/>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7"/>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7"/>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7"/>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7"/>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56F8FDC5">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2"/>
        <w:rPr>
          <w:rFonts w:hint="default" w:ascii="仿宋" w:hAnsi="仿宋" w:eastAsia="仿宋" w:cs="仿宋"/>
          <w:b/>
          <w:bCs/>
          <w:color w:val="auto"/>
          <w:kern w:val="2"/>
          <w:sz w:val="24"/>
          <w:szCs w:val="24"/>
          <w:lang w:val="en-US" w:eastAsia="zh-CN" w:bidi="ar-SA"/>
        </w:rPr>
      </w:pPr>
    </w:p>
    <w:p w14:paraId="2A875E44">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5053B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275"/>
        <w:gridCol w:w="535"/>
        <w:gridCol w:w="581"/>
        <w:gridCol w:w="4740"/>
        <w:gridCol w:w="1481"/>
        <w:gridCol w:w="1265"/>
        <w:gridCol w:w="909"/>
      </w:tblGrid>
      <w:tr w14:paraId="01DA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01FFFD70">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（一）喷码机需求清单：</w:t>
            </w:r>
          </w:p>
        </w:tc>
      </w:tr>
      <w:tr w14:paraId="3BA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292B3E84">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A4D46D4">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FF3502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F7A41E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CB99EE6">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02A3E8C">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3DDC0CD5">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FEC4B0B">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4AC078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0FB3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2063F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51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60m³立式不锈钢环烷油储存罐</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E3B0EA">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E3DF3B">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个</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2AFA1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设备名称：60m³ 立式不锈钢环烷油储存罐</w:t>
            </w:r>
          </w:p>
          <w:p w14:paraId="55A17B02">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有效容积：60m³，直径3m</w:t>
            </w:r>
          </w:p>
          <w:p w14:paraId="26F7235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储存介质：环烷油、矿物油类介质</w:t>
            </w:r>
          </w:p>
          <w:p w14:paraId="686F0AC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结构形式：立式圆柱形常压储罐</w:t>
            </w:r>
          </w:p>
          <w:p w14:paraId="4F76098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主体材质：304不锈钢 整体制作，耐腐蚀、不生锈、不污染介质</w:t>
            </w:r>
          </w:p>
          <w:p w14:paraId="746FB73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设计压力：常压储罐，设计压力：-0.1～0.1MPa</w:t>
            </w:r>
          </w:p>
          <w:p w14:paraId="1828254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设计温度：-20℃ ～ 80℃</w:t>
            </w:r>
          </w:p>
          <w:p w14:paraId="2ECCDA7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 筒体壁厚：≥8mm</w:t>
            </w:r>
          </w:p>
          <w:p w14:paraId="485BDD31">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 封头壁厚：≥10mm</w:t>
            </w:r>
          </w:p>
          <w:p w14:paraId="1E973A7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10. 防腐表面：不锈钢整体抛光处理，内壁光滑无死角，耐油耐腐蚀；外壁美观防锈，无需额外油漆ing</w:t>
            </w:r>
          </w:p>
          <w:p w14:paraId="47DE90E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 标准接口：上进料口、下出料口、底部排污口、呼吸透气口、液位计接口、检修人孔</w:t>
            </w:r>
          </w:p>
          <w:p w14:paraId="4756FBC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二、设备性能指标</w:t>
            </w:r>
          </w:p>
          <w:p w14:paraId="5E6BB77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 密封性能：整体满焊工艺，焊缝严密，经水压、气密性试验合格，全程无渗漏、无挥发泄漏。</w:t>
            </w:r>
          </w:p>
          <w:p w14:paraId="01D14058">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2. 耐腐蚀性能：采用304不锈钢材质，专门适配环烷油长期储存，耐油料腐蚀、不氧化、不生锈、不污染油品品质。</w:t>
            </w:r>
          </w:p>
          <w:p w14:paraId="0CB207C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3. 安全防护：配置呼吸阀压力平衡装置，防止罐体胀罐或负压吸瘪；自带防静电接地与防雷接地结构，符合化工油品仓储安全规范。</w:t>
            </w:r>
          </w:p>
          <w:p w14:paraId="51A30B20">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4. 计量便捷：标配液位观测装置，罐内余量清晰直观，便于日常抽料、盘点、精准计量。</w:t>
            </w:r>
          </w:p>
          <w:p w14:paraId="43954739">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5. 维护清洁：内壁光滑、底部低位排污设计，无积料死角，方便定期排污、清理杂质。</w:t>
            </w:r>
          </w:p>
          <w:p w14:paraId="1D162E32">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6. 结构稳定：立式整体加固底座，抗沉降、抗风载，结构稳固耐用，设计使用寿命≥15年。</w:t>
            </w:r>
          </w:p>
          <w:p w14:paraId="6ECF581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7. 合规要求：按常压容器标准设计、制作、验收，满足工业环烷油储存、项目标书及现场安全使用要求。</w:t>
            </w:r>
          </w:p>
          <w:p w14:paraId="0A58D1D9">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8</w:t>
            </w:r>
            <w:r>
              <w:rPr>
                <w:rFonts w:hint="default" w:ascii="仿宋" w:hAnsi="仿宋" w:eastAsia="仿宋" w:cs="仿宋"/>
                <w:b w:val="0"/>
                <w:bCs w:val="0"/>
                <w:i w:val="0"/>
                <w:iCs w:val="0"/>
                <w:color w:val="auto"/>
                <w:sz w:val="24"/>
                <w:szCs w:val="24"/>
                <w:u w:val="none"/>
                <w:shd w:val="clear" w:color="auto" w:fill="auto"/>
                <w:lang w:val="en-US" w:eastAsia="zh-CN"/>
              </w:rPr>
              <w:t>. 结构支撑性能：配置与罐体一体化制作的裙座/支腿支撑结构，材质为碳钢防腐或304不锈钢，与整体加固底座焊接为一体，满足设计抗沉降、抗风载及≥15年使用寿命要求，无结构薄弱点。</w:t>
            </w:r>
          </w:p>
          <w:p w14:paraId="0E2D3CE4">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9</w:t>
            </w:r>
            <w:r>
              <w:rPr>
                <w:rFonts w:hint="default" w:ascii="仿宋" w:hAnsi="仿宋" w:eastAsia="仿宋" w:cs="仿宋"/>
                <w:b w:val="0"/>
                <w:bCs w:val="0"/>
                <w:i w:val="0"/>
                <w:iCs w:val="0"/>
                <w:color w:val="auto"/>
                <w:sz w:val="24"/>
                <w:szCs w:val="24"/>
                <w:u w:val="none"/>
                <w:shd w:val="clear" w:color="auto" w:fill="auto"/>
                <w:lang w:val="en-US" w:eastAsia="zh-CN"/>
              </w:rPr>
              <w:t>. 安全检修性能：罐壁设置带护笼直梯或盘梯，罐顶配套全周操作平台及防护栏杆，符合GB 4053.1-2025规范要求，确保人员可安全开展罐顶人孔、呼吸阀、液位计等部件的日常检修与维护作业。</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1DD7A5">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1862D9">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湖北省浠水经济开发区散花工业园滨江五路2号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7DFF4B">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5F34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17F1985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6187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4E50D3F4">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103B1C8A">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送货地址：湖北省浠水经济开发区散花工业园滨江五路2号</w:t>
            </w:r>
          </w:p>
          <w:p w14:paraId="4DAB5E5D">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5CFD4BE4">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0B443075">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506654"/>
    <w:rsid w:val="05627F04"/>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5D1AA7"/>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601A8"/>
    <w:rsid w:val="0CBD79DC"/>
    <w:rsid w:val="0CC044EB"/>
    <w:rsid w:val="0CEB39D2"/>
    <w:rsid w:val="0D11657D"/>
    <w:rsid w:val="0D59464A"/>
    <w:rsid w:val="0D83145C"/>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4B95E54"/>
    <w:rsid w:val="152D1FE5"/>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7E673F"/>
    <w:rsid w:val="19B13F33"/>
    <w:rsid w:val="19FB3C03"/>
    <w:rsid w:val="1A2F6BB8"/>
    <w:rsid w:val="1A6C5716"/>
    <w:rsid w:val="1AA44A44"/>
    <w:rsid w:val="1AB645DA"/>
    <w:rsid w:val="1AF248D6"/>
    <w:rsid w:val="1B010CDD"/>
    <w:rsid w:val="1B3E3E3F"/>
    <w:rsid w:val="1B8A404B"/>
    <w:rsid w:val="1BBC29CA"/>
    <w:rsid w:val="1BFF62E1"/>
    <w:rsid w:val="1C00430D"/>
    <w:rsid w:val="1C2040BB"/>
    <w:rsid w:val="1C273FEB"/>
    <w:rsid w:val="1C7A4664"/>
    <w:rsid w:val="1C7C4652"/>
    <w:rsid w:val="1C8618E5"/>
    <w:rsid w:val="1C8925AF"/>
    <w:rsid w:val="1C964321"/>
    <w:rsid w:val="1C984EE8"/>
    <w:rsid w:val="1C9E2F9E"/>
    <w:rsid w:val="1C9F4E42"/>
    <w:rsid w:val="1CFA31BC"/>
    <w:rsid w:val="1D801C55"/>
    <w:rsid w:val="1E2E78B2"/>
    <w:rsid w:val="1E6E7B88"/>
    <w:rsid w:val="1E7E4C89"/>
    <w:rsid w:val="1E8F57DA"/>
    <w:rsid w:val="1EA272B7"/>
    <w:rsid w:val="1ED878EA"/>
    <w:rsid w:val="1F44444A"/>
    <w:rsid w:val="1F58270D"/>
    <w:rsid w:val="1F833704"/>
    <w:rsid w:val="1FD37DBC"/>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0F5DB5"/>
    <w:rsid w:val="23496F3C"/>
    <w:rsid w:val="23901727"/>
    <w:rsid w:val="23FD6955"/>
    <w:rsid w:val="24160ABC"/>
    <w:rsid w:val="242760A3"/>
    <w:rsid w:val="243674C1"/>
    <w:rsid w:val="2500205F"/>
    <w:rsid w:val="2523589A"/>
    <w:rsid w:val="25416B4F"/>
    <w:rsid w:val="25465897"/>
    <w:rsid w:val="254F5B58"/>
    <w:rsid w:val="25E371D4"/>
    <w:rsid w:val="25E40FB4"/>
    <w:rsid w:val="25FE0C95"/>
    <w:rsid w:val="26101707"/>
    <w:rsid w:val="26203375"/>
    <w:rsid w:val="2641266A"/>
    <w:rsid w:val="2674607E"/>
    <w:rsid w:val="26863D82"/>
    <w:rsid w:val="26971D6D"/>
    <w:rsid w:val="26C03072"/>
    <w:rsid w:val="26F947D6"/>
    <w:rsid w:val="27AD305A"/>
    <w:rsid w:val="27AE3812"/>
    <w:rsid w:val="27B96EAD"/>
    <w:rsid w:val="27C06152"/>
    <w:rsid w:val="27EC60E8"/>
    <w:rsid w:val="281C0647"/>
    <w:rsid w:val="28286D40"/>
    <w:rsid w:val="28726236"/>
    <w:rsid w:val="28773C04"/>
    <w:rsid w:val="28A370AB"/>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C97295A"/>
    <w:rsid w:val="2CBE2605"/>
    <w:rsid w:val="2CD577AF"/>
    <w:rsid w:val="2D0A6FB6"/>
    <w:rsid w:val="2D1D3910"/>
    <w:rsid w:val="2D3A275A"/>
    <w:rsid w:val="2D564730"/>
    <w:rsid w:val="2D9E7E85"/>
    <w:rsid w:val="2DF83A39"/>
    <w:rsid w:val="2DFF1CCD"/>
    <w:rsid w:val="2E3903BB"/>
    <w:rsid w:val="2E39655E"/>
    <w:rsid w:val="2E617D27"/>
    <w:rsid w:val="2E671554"/>
    <w:rsid w:val="2E725186"/>
    <w:rsid w:val="2EC3786B"/>
    <w:rsid w:val="2F1F5C33"/>
    <w:rsid w:val="2F756181"/>
    <w:rsid w:val="2FAD1DFD"/>
    <w:rsid w:val="2FCC0CD9"/>
    <w:rsid w:val="2FE54BEF"/>
    <w:rsid w:val="30901BEE"/>
    <w:rsid w:val="30A21A3A"/>
    <w:rsid w:val="31037379"/>
    <w:rsid w:val="31097D0B"/>
    <w:rsid w:val="31191184"/>
    <w:rsid w:val="317220E4"/>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5C6972"/>
    <w:rsid w:val="38632E3F"/>
    <w:rsid w:val="386C3059"/>
    <w:rsid w:val="38887767"/>
    <w:rsid w:val="38A02D03"/>
    <w:rsid w:val="38F8669B"/>
    <w:rsid w:val="3905525C"/>
    <w:rsid w:val="39194863"/>
    <w:rsid w:val="39327654"/>
    <w:rsid w:val="39504729"/>
    <w:rsid w:val="39526B18"/>
    <w:rsid w:val="39C57063"/>
    <w:rsid w:val="39EC3D26"/>
    <w:rsid w:val="3A3E27D3"/>
    <w:rsid w:val="3A5D364C"/>
    <w:rsid w:val="3A71151E"/>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301EA"/>
    <w:rsid w:val="3F275F2C"/>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778FC"/>
    <w:rsid w:val="43986B8D"/>
    <w:rsid w:val="439A59A9"/>
    <w:rsid w:val="43FA6097"/>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8DD2945"/>
    <w:rsid w:val="49042AD4"/>
    <w:rsid w:val="491D3070"/>
    <w:rsid w:val="49247D9C"/>
    <w:rsid w:val="49521DF7"/>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5E1B41"/>
    <w:rsid w:val="4E74595B"/>
    <w:rsid w:val="4EC95CE1"/>
    <w:rsid w:val="4F0911AA"/>
    <w:rsid w:val="4F1B7959"/>
    <w:rsid w:val="4FE17A31"/>
    <w:rsid w:val="4FF17B1D"/>
    <w:rsid w:val="50355FCF"/>
    <w:rsid w:val="50E0639D"/>
    <w:rsid w:val="50ED2406"/>
    <w:rsid w:val="50F446D7"/>
    <w:rsid w:val="510649AB"/>
    <w:rsid w:val="51542485"/>
    <w:rsid w:val="5164013B"/>
    <w:rsid w:val="51FA5CF1"/>
    <w:rsid w:val="52283D58"/>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9B7995"/>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341962"/>
    <w:rsid w:val="5B3E21DC"/>
    <w:rsid w:val="5B42223B"/>
    <w:rsid w:val="5B955B74"/>
    <w:rsid w:val="5B9B0D21"/>
    <w:rsid w:val="5BAC1760"/>
    <w:rsid w:val="5BCD5071"/>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9A0A64"/>
    <w:rsid w:val="66AB1102"/>
    <w:rsid w:val="66DE3D8A"/>
    <w:rsid w:val="671921E1"/>
    <w:rsid w:val="67366173"/>
    <w:rsid w:val="674C634A"/>
    <w:rsid w:val="67872DBE"/>
    <w:rsid w:val="67880498"/>
    <w:rsid w:val="67BD6B7E"/>
    <w:rsid w:val="67CF5B66"/>
    <w:rsid w:val="67E16738"/>
    <w:rsid w:val="68451475"/>
    <w:rsid w:val="684D0053"/>
    <w:rsid w:val="686B3DCD"/>
    <w:rsid w:val="68A67256"/>
    <w:rsid w:val="68E550C3"/>
    <w:rsid w:val="68F51C21"/>
    <w:rsid w:val="692C3FBB"/>
    <w:rsid w:val="693921D2"/>
    <w:rsid w:val="69BC21C8"/>
    <w:rsid w:val="6A061712"/>
    <w:rsid w:val="6ADB4EAD"/>
    <w:rsid w:val="6AF74F8C"/>
    <w:rsid w:val="6B064398"/>
    <w:rsid w:val="6B146AB5"/>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6810C8"/>
    <w:rsid w:val="778C41B1"/>
    <w:rsid w:val="779C464C"/>
    <w:rsid w:val="77BE61EB"/>
    <w:rsid w:val="77C7714C"/>
    <w:rsid w:val="77DA4BE2"/>
    <w:rsid w:val="78A7029E"/>
    <w:rsid w:val="78CE47F3"/>
    <w:rsid w:val="78E57CE3"/>
    <w:rsid w:val="78F10436"/>
    <w:rsid w:val="79796419"/>
    <w:rsid w:val="79A951B4"/>
    <w:rsid w:val="79C45B4A"/>
    <w:rsid w:val="79D33FDF"/>
    <w:rsid w:val="79DD0584"/>
    <w:rsid w:val="79EC7E3C"/>
    <w:rsid w:val="7A0F3868"/>
    <w:rsid w:val="7A1527BB"/>
    <w:rsid w:val="7A2F472A"/>
    <w:rsid w:val="7A7B0FFC"/>
    <w:rsid w:val="7A910FA6"/>
    <w:rsid w:val="7ABB45E0"/>
    <w:rsid w:val="7ADA3DBC"/>
    <w:rsid w:val="7AE04C0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C12ACC"/>
    <w:rsid w:val="7DF804B8"/>
    <w:rsid w:val="7E03663C"/>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793</Words>
  <Characters>942</Characters>
  <Lines>25</Lines>
  <Paragraphs>7</Paragraphs>
  <TotalTime>9</TotalTime>
  <ScaleCrop>false</ScaleCrop>
  <LinksUpToDate>false</LinksUpToDate>
  <CharactersWithSpaces>1123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2026-05-12T09:25:00Z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025CCB0CDB2E45C7837183B33A86A24E_13</vt:lpwstr>
  </property>
  <property fmtid="{D5CDD505-2E9C-101B-9397-08002B2CF9AE}" pid="4" name="KSOTemplateDocerSaveRecord">
    <vt:lpwstr>eyJoZGlkIjoiOTVlOTlkOTJlNjBhMTBhYTJlZDY0ZDgzODVkNTYwMGUiLCJ1c2VySWQiOiIzMDMyODIwMDUifQ==</vt:lpwstr>
  </property>
</Properties>
</file>